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5D" w:rsidRPr="005F235D" w:rsidRDefault="005F235D" w:rsidP="005F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235D">
        <w:rPr>
          <w:rFonts w:ascii="Calibri" w:eastAsia="Calibri" w:hAnsi="Calibri" w:cs="Times New Roman"/>
          <w:b/>
          <w:sz w:val="28"/>
          <w:szCs w:val="28"/>
        </w:rPr>
        <w:t>ИТОГИ СОЦИАЛЬНО-ЭКОНОМИЧЕСКОГО РАЗВИТИЯ ПИРОВСКОГО РАЙОНА ЗА 201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bookmarkStart w:id="0" w:name="_GoBack"/>
      <w:bookmarkEnd w:id="0"/>
      <w:r w:rsidRPr="005F235D">
        <w:rPr>
          <w:rFonts w:ascii="Calibri" w:eastAsia="Calibri" w:hAnsi="Calibri" w:cs="Times New Roman"/>
          <w:b/>
          <w:sz w:val="28"/>
          <w:szCs w:val="28"/>
        </w:rPr>
        <w:t xml:space="preserve"> – 201</w:t>
      </w:r>
      <w:r>
        <w:rPr>
          <w:rFonts w:ascii="Calibri" w:eastAsia="Calibri" w:hAnsi="Calibri" w:cs="Times New Roman"/>
          <w:b/>
          <w:sz w:val="28"/>
          <w:szCs w:val="28"/>
        </w:rPr>
        <w:t>7</w:t>
      </w:r>
      <w:r w:rsidRPr="005F235D">
        <w:rPr>
          <w:rFonts w:ascii="Calibri" w:eastAsia="Calibri" w:hAnsi="Calibri" w:cs="Times New Roman"/>
          <w:b/>
          <w:sz w:val="28"/>
          <w:szCs w:val="28"/>
        </w:rPr>
        <w:t xml:space="preserve"> ГОДА И ОЦЕНКА ПРЕДПОЛОГАЕМЫХ ИТОГОВ НА 201</w:t>
      </w:r>
      <w:r>
        <w:rPr>
          <w:rFonts w:ascii="Calibri" w:eastAsia="Calibri" w:hAnsi="Calibri" w:cs="Times New Roman"/>
          <w:b/>
          <w:sz w:val="28"/>
          <w:szCs w:val="28"/>
        </w:rPr>
        <w:t>8</w:t>
      </w:r>
      <w:r w:rsidRPr="005F235D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</w:p>
    <w:p w:rsidR="00EF1839" w:rsidRDefault="00EF1839" w:rsidP="005F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сведения о муниципальном образовании</w:t>
      </w:r>
    </w:p>
    <w:p w:rsidR="00EF1839" w:rsidRDefault="00EF1839" w:rsidP="00EF1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Прогноз социально-экономического развития муниципального образования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разработан в соответствии с законами Красноярского края от 24.12.2015 № 9-4112 «О стратегическом планировании в Красноярском крае», от 18.12.2008 № 7-2617 «О  бюджетном процессе в Красноярском крае», с постановлением Правительства Красноярского края от 06.04.2010 №164-п «О порядке составления проекта закона  Красноярского края  о краевом бюджете на очередной финансовый год и плановый период», с постановлением главы администрации Пировского района от 14.06.2018 года № 161-п "О формировании мониторинга за 2017 год и уточненного прогноза социально-экономического развития Пировского района на 2019-2021 гг."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Прогноз социально-экономического развития Пировского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района  разработан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основе анализа социально-экономической ситуации за предшествующий период, прогнозных материалов структурных подразделений администрации Пировского  района, прогнозных оценок предприятий района и с учетом условий, отраженных в «Порядке организации работ и оформление материалов прогноза социально-экономического развития  городских и муниципальных районов Красноярского  края в 2018 году». При разработке прогноза СЭР на 2019-2021 годы применялись дефляторы, согласно предварительного прогноза показателей инфляции в Красноярском крае до 2021 года, дефляторы по видам экономической деятельности.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left="140" w:firstLine="5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Базой для разработки прогноза послужили материалы анализа современного состояния экономики и социальной сферы, экономических реформ в отраслях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организациях  района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Прогноз подготовлен на основании аналитических материалов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Красстата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данных  предприятий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организации района. В прогнозе допускается внесение уточненных данных за предыдущий отчетный год, согласно уточненных данных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Красстата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или наблюдаемых организаций.       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Пировский район образован в 1924 году, расположен в междуречье реки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притока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Оби  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Кемь - притока реки Енисей. Находится в западной части Центрального региона Красноярского края, в 250 километрах к северу от г. Красноярска и в 110 километрах к югу от г. Енисейска.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Общая  площадь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района – 624137 га,  из  них  земли  сельскохозяйственного назначения  занимают  площадь  204308 га, земли  лесного  фонда –371574 га,  земли  населённых  пунктов – 45013 га,  земли  промышленности  и  иного  назначения  занимают –869 га,  земли  запаса  и  водного  фонда –2373 га  .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Граничит с севера с Енисейским районом, с юга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Большемуртинским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районом, с востока с Казачинским районом, с запада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Бирилюсским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районом. Связь с краевым центром осуществляется автодорогой Пировское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Галанино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далее Енисейский тракт до г. Красноярска. Ближайшая железнодорожная станция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Пировская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находится на расстоянии 18 км от районного центра.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Центр района - село Пировское, с населением 3029 человек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образовано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1610 году.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состав  муниципального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района входит 10 муниципальных образований: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Алтатский сельсовет (с.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Алтат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), численность наличного населения на начало 2018 года 102 человека, расстояние до районного центра 70 км, площадь территории 562 км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Бушуйский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 (с. Бушуй,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Алгайск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Доново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д. Петропавловка,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Шумбаш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), численность населения на начало 2018 года 152 человек, расстояние до районного центра 20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км,  площадь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территории 910 км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- Икшурминский сельсовет (с.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Икшурма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д. Коврига, д. Новотроицкая, д. Новый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Тимершик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), численность населения 542 человека, расстояние до районного центра 20 км, площадь территории 672 км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Кетский сельсовет (п. Кетский, п. Большая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п. Омский), численность населения 1092 человек, расстояние до районного центра 30 км, площадь территории 959 км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Кириковский сельсовет (с.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Кириково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д. Волоковое, д. Игнатово, д. Раменское,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Усковское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Холмовая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Шагирислам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,), численность населения 556 человек, расстояние до районного центра 18 км, 815 км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Комаровский сельсовет (с. Комаровка, д. Новомихайловка, д. Новый Ислам,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Туруханка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), численность населения 265 человека, расстояние до районного центра 33 км, площадь территории 260 км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Пировский сельсовет (с. Пировское), численность населения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3046  человек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площадь территории 207 км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Солоухинский сельсовет (с.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Солоуха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д. Долгово, п.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Кемский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д. Михайловка,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Новониколаевское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д. Филипповка), численность населения 333 человек, расстояние до районного центра 20 км, площадь территории 632 км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Троицкий сельсовет (с. Троица, с. Бельское, д. Куренная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Ошма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п. Пировский), численность населения 660 человек, расстояние до районного центра 20 км, площадь территории 715 км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Чайдинский сельсовет (п.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Чайда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), численность населения 137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человек,  расстояние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 районного центра 98 км, площадь территории 509 км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Всего в районе 39 населенных пунктов. Самыми крупными населенными пунктами являются с. Пировское, п. Кетский. В деревнях Никольск, Новый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Сатыш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Светлицк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Кемский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никто не проживает.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Численность населения района на 01.01.2018 г. составила – 6867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человек, плотность населения – 1,12 чел./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кв.км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 Этнический состав населения: русские, татары, немцы, украинцы, чуваши, мордва и другие. Всего 46 различных национальностей.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территории района в основном развиваются две сферы производства: сельское хозяйство и лесная промышленность (37,5 % сельское хозяйство, 43,5% лесная промышленность).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Сельское хозяйство специализируется на продукции растениеводства, в последние годы   восстанавливается животноводство в основном разведение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крупно-рогатого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скота и коневодство. Развито частное пчеловодство.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Промышленность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Исторически сложилось так, что промышленная сфера района формируются за счет земледелия и лесных запасов.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Лесная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отрасль  играет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особо важную социально-экономическую роль, обеспечивая основную занятость в Пировском районе.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территории  района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работает более 40 лесозаготовительных предприятий разного формата, порядка 20 предприятий занимаются глубокой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пререработкой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древесины.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 совокупности общий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объем  переработки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древесины составляет более 85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тыс.кбм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Производство важнейших видов промышленной продукции в Пировском районе представлено следующими видами: производство пиломатериала, производство хлеба и хлебобулочных изделий. Основными предприятиями, занимающихся производством хлеба и хлебобулочных изделий в районе являются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–  ЛЗК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"Возрождение", ООО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Хлебокомбинат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Конечный продукт пищевой промышленности ориентирован в основном на внутренний рынок, деревообрабатывающая продукция на внешний рынок.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Сельское хозяйство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Сельское хозяйство является основным и важнейшим направлением развития экономики района.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конец 2017 года на территории Пировского района имелось 13 субъектов АПК включенных в реестр сельскохозяйственных товаропроизводителей края.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Доля прибыльных сельскохозяйственных предприятий в 2017 году составляет 80%. Отмечается повышение доли прибыльных сельскохозяйственных организаций на 8,6% в 2017 году по сравнению с предыдущим годом. это связано с улучшением финансового результат по году, только одно хозяйство - СПК Комаровка за 2017 год вышло в убыток в размере 351 тыс. руб. В 2017 году было открыто 2 ИП Глава К(Ф)Х, новые организации не смогли сработать на первоначальном этапе развития в значительный положительный результат (этот момент был прописан в бизнес планах), что отразилось на доле прибыльных сельскохозяйственных организаций района. Так же данная ситуация сложилась в связи с высокими затратами на производство, и низкой выручкой от реализации продукции.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последующие три года, включая текущий, сельскохозяйственные организации планируют увеличить выручку от реализации сельскохозяйственной продукции, что позволит увеличить долю прибыльных сельскохозяйственных организаций на 20% по сравнению с 2016 годом. Положительно повлиять на рост прибыльных сельскохозяйственных организаций может повлиять и факт увеличения в районе числа ИП Глава К(Ф)Х.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Растениеводство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Площадь земель сельскохозяйственного назначения в 2017 году составила 242,649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га.,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данный показатель не изменился в сравнении с 2016 годом. Площадь сельскохозяйственных угодий, используемых землепользователями, занимающимися сельхозпроизводством под пашню на 01.01.2018 год составила 8833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га.,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отмечается снижение на 143га. в сравнении с 2016 годом.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2017 году площадь сельскохозяйственных угодий, используемых гражданами, занимающимися сельхозпроизводством составила 6037,00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га.,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показатель не изменился в сравнении с 2016 годом.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Производство зерна (в весе после доработки) в 2017 году составило 5460,90 тонны, что на 4,8% меньше, чем в 2016 году, по оценке в 2018 году показатель 2017 года увеличится на 55га. (1,1 %) в связи с увеличением объема производства.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Производство картофеля в 2017 году составило – 4466,10 тонн, что на 10,6% меньше чем в 2016 году. В дальнейшим по годам планируется рост производства картофеля: в 2018 году- 4510,76 тонн; в 2019 году – 4569,40 тонн; в 2020 году – 4642,51тонн; в 2021 году – 4753,93 тонн.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Производство овощей в 2017 году составило – 3009,60 тонн, что на 4,9 % больше чем в 2016 году. Планируется постоянный рост объема производства овощей, так к 2021 году планируется выйти к объему производства в размере 3203,56 тонн.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Животноводство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Поголовье крупного рогатого скота в 2017 году составило 3340 голов, что больше чем в 2016 году на 3,8%, из них коровы - 1415 головы увеличение к 2016 году составило 2%.  К 2020 году во всех категориях хозяйств на территории Пировского района планируется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увеличить поголовье КРС на 6,4% к уровню 2017 года за счет роста поголовья в крестьянских фермерских хозяйств.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счет увеличения поголовья коров в 2017 году произошло общее увеличение производства молока, так 2017 году оно составило 5837 тонн, что на 102 тонны больше чем в 2016 году. Планируется постепенный рост производства объема молока по годам во всех категориях хозяйств, так к 2021 году оно составит 6213,18 тонн, что на 8,3 % больше, чем в 2016 году.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Поголовье лошадей по итогам 2017 года составило 421 голов, что на 15,3% больше, чем в 2016 году. К 2021 году планируется увеличение поголовья лошадей по всем категориям хозяйств на 22% к уровню 2016 года.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Поголовье свиней в 2017 году составило 2477 голов, что на 3,5 % меньше, чем в 2016 году. К концу 2021 году планируется увеличение поголовья свиней на 6,4% к уровню 2017 года.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2017 году наблюдается не большое увеличение поголовья овец и коз к уровню 2016 года, оно составило 1,9%, но уже с 2018 года планируется постепенное увеличение поголовья, так к концу 2021 года поголовье овец и коз во всех категориях хозяйств может составить 1154 голов, что выше на 6,4 % чем в 2017 году.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Производство скота и птицы на убой в живом весе за 2017 год составляет 1298 тонн. К 2021 году планируется увеличение производства скота и птицы на убой в живом весе на 6,4% к уровню 2017 года.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Производство яиц в 2017 году увеличилось не значительно и составило – 902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тыс.штук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что больше чем в 2016 году на 0,85. Прогнозируется стабильный рост производства яиц на территории района по годам: 2018 год - 918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тыс.штук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2019 год -930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тыс.штук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2020 год – 945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тыс.штук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2021 год – 968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тыс.штук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Такой прогнозируемый стабильный рост в животноводстве района обусловлен в основном тем, что на территории района по результатам 2017 года вели активную деятельность десять ИП Глава К(Ф)Х, их работа была направлена именно на развитие мясного и молочного животноводства.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Строительство</w:t>
      </w:r>
    </w:p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Строительных организаций на территории района нет. Ввод жилья производился за счет населения.</w:t>
      </w:r>
    </w:p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Жилищное строительство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 В 2016 году площадь жилищного фонда на конец года по данным формы № 1-жилфонд составляла 187,3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тыс.кв.м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 </w:t>
      </w:r>
      <w:r>
        <w:rPr>
          <w:rFonts w:ascii="Arial CYR" w:hAnsi="Arial CYR" w:cs="Arial CYR"/>
          <w:sz w:val="24"/>
          <w:szCs w:val="24"/>
          <w:u w:color="FF0000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В  2017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году введено жилья площадью 1380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кв.м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.,  общая площадь жилых помещений, приходящихся в среднем на одного жителя составила 27,4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кв.м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, что на 2,24 %  выше уровня 2016 года. В 2017 году было введено жилья на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570 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кв.м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больше чем за 2016 год ,соответственно показатель ввода на 1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житяла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возрос.  В последующие годы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показатель  ввода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жилья на одного жителя  будет значительно ниже чем в  2017 году , за счет того что планируется снижение показателя по вводу жилья в эксплуатацию в 2018-2020 годах, уменьшается ежегодно количество  заявок на строительство жилья. Незначительно увеличится ввод жилья на 1 жителя в 2019 и 2020 году по сравнению с 2018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годом  за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счет снижения среднегодовой численности населения, среднегодовая численность в 2017 году была 6910, на 2018 год планируется -6847 человек, в 2019 году-6812 человек, в 2020 году-6787 человек.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lastRenderedPageBreak/>
        <w:t xml:space="preserve">     В 2017 году введено в эксплуатацию 14 домов, это в основном индивидуальное жилищное строительство, а также участие молодых семей и молодых специалистов на селе в муниципальных программах.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28"/>
        <w:gridCol w:w="1265"/>
        <w:gridCol w:w="992"/>
        <w:gridCol w:w="851"/>
        <w:gridCol w:w="957"/>
      </w:tblGrid>
      <w:tr w:rsidR="00EF1839"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Ввод жилья, кв. метров</w:t>
            </w:r>
          </w:p>
        </w:tc>
      </w:tr>
      <w:tr w:rsidR="00EF1839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предыдущий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отчетный период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прогноз</w:t>
            </w:r>
          </w:p>
        </w:tc>
      </w:tr>
      <w:tr w:rsidR="00EF1839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2020</w:t>
            </w:r>
          </w:p>
        </w:tc>
      </w:tr>
      <w:tr w:rsidR="00EF1839">
        <w:trPr>
          <w:trHeight w:val="63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Введено всего,</w:t>
            </w:r>
          </w:p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в том числе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900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1000</w:t>
            </w:r>
          </w:p>
        </w:tc>
      </w:tr>
      <w:tr w:rsidR="00EF1839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индивидуальное жилищное строительство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      810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     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  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  900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 1000</w:t>
            </w:r>
          </w:p>
        </w:tc>
      </w:tr>
      <w:tr w:rsidR="00EF1839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многоквартирное строительство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</w:tr>
    </w:tbl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i/>
          <w:iCs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  <w:lang w:val="en-US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Инвестиции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 2017 году инвестиции в основной капитал без субъектов малого бизнеса составили 20483,0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., из них бюджетные средства 19218,0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., инвестиции без учета бюджетных средств 1265,0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 Инвестиций без учета бюджетных средств на одного жителя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приходится  183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,1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., в 2016 году на 1 жителя приходилось инвестиций 2 млн.796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 По сравнению с 2016 годом уменьшение объема инвестиций в основной капитал составил 78,9 %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и  уменьшился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на 76,7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млн.рублей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 В 2016 году реализовались два крупных инвестиционных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проекта  строительство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детского сада на 95 мест. строительство физкультурно-спортивного центра.  В 2018-2020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гг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крупные инвестиционные проекты не планируются. По видам экономической деятельности 46,8 % всех инвестиций в 2017 году приходилась на образование, 24,16% на здравоохранение, 19,69% на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госуправление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и обеспечение военной безопасности. В 2016 основная доля 39,49%   инвестиции в деятельность в области культуры, спорта, организации досуга и развлечений это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строительство  физкультурно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>-спортивного комплекса, 35,44 %  вид деятельности "образование" строительство детского сада.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Инвестиции субъектов малого бизнеса в 2017 году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составили  60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,0 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млн.рублей</w:t>
      </w:r>
      <w:proofErr w:type="spellEnd"/>
      <w:r>
        <w:rPr>
          <w:rFonts w:ascii="Times New Roman CYR" w:hAnsi="Times New Roman CYR" w:cs="Times New Roman CYR"/>
          <w:sz w:val="28"/>
          <w:szCs w:val="28"/>
          <w:u w:color="FF0000"/>
        </w:rPr>
        <w:t>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Транспорт и связь</w:t>
      </w:r>
    </w:p>
    <w:p w:rsidR="00EF1839" w:rsidRPr="00EF1839" w:rsidRDefault="00EF1839" w:rsidP="00EF183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      Основными видами транспортного сообщения являются железнодорожный и автомобильный. Общая протяженность всех автомобильных дорог района составляет 522,75 км. В муниципальной собственности района находится 138,</w:t>
      </w:r>
      <w:proofErr w:type="gram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8  км</w:t>
      </w:r>
      <w:proofErr w:type="gram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автодорог общего пользования, все 138,8 км с твердым покрытием, из них 75,1% не  соответствуют нормативным требованиям. Диагностика состояния данных автомобильных </w:t>
      </w:r>
      <w:proofErr w:type="gram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дорог  в</w:t>
      </w:r>
      <w:proofErr w:type="gram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период  2014-2017 </w:t>
      </w:r>
      <w:proofErr w:type="spell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гг</w:t>
      </w:r>
      <w:proofErr w:type="spell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не проводилась. Доля дорог, в отношении которых был произведен ремонт, в 2016 году составила 4%, в 2017 году - 4,3%. В 2016 году на ремонт было выделено краевой субсидии 12481,0 </w:t>
      </w:r>
      <w:proofErr w:type="spell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., отремонтировано 5,6 км. автомобильных дорог общего пользования местного значения, в 2017 году отремонтировано 6 км. В последующие прогнозные годы привлечение средств дорожного фонда Красноярского края, при </w:t>
      </w:r>
      <w:proofErr w:type="spellStart"/>
      <w:proofErr w:type="gram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софинансировании</w:t>
      </w:r>
      <w:proofErr w:type="spell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 из</w:t>
      </w:r>
      <w:proofErr w:type="gram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бюджета муниципального образования, позволит значительно увеличить ассигнования на капитальный ремонт и ремонт автомобильных дорог.</w:t>
      </w:r>
    </w:p>
    <w:p w:rsidR="00EF1839" w:rsidRPr="00EF1839" w:rsidRDefault="00EF1839" w:rsidP="00EF183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lastRenderedPageBreak/>
        <w:t xml:space="preserve">    Обслуживание улично-дорожной сети поселений осуществляет Пировский участок ГП КК «</w:t>
      </w:r>
      <w:proofErr w:type="spell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Лесосибирск</w:t>
      </w:r>
      <w:proofErr w:type="spell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– </w:t>
      </w:r>
      <w:proofErr w:type="spell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Автодор</w:t>
      </w:r>
      <w:proofErr w:type="spell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». Также принимают участие в обслуживании дорог поселений на контрактной основе ООО «Стратегия-Норд» и индивидуальные предприниматели.</w:t>
      </w:r>
    </w:p>
    <w:p w:rsidR="00EF1839" w:rsidRPr="00EF1839" w:rsidRDefault="00EF1839" w:rsidP="00EF183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   На территории Пировского района действует регулярное автобусное сообщение, перевозкой пассажиров занимается 1 перевозчик -</w:t>
      </w:r>
      <w:proofErr w:type="spell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Казачинский</w:t>
      </w:r>
      <w:proofErr w:type="spell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филиал государственного предприятия Красноярского края "Краевое </w:t>
      </w:r>
      <w:proofErr w:type="gram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автотранспортное  предприятие</w:t>
      </w:r>
      <w:proofErr w:type="gram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".</w:t>
      </w:r>
    </w:p>
    <w:p w:rsidR="00EF1839" w:rsidRPr="00EF1839" w:rsidRDefault="00EF1839" w:rsidP="00EF183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Транспортное обслуживание населения осуществляется в рамках муниципальной программы. Договор заключался по результатам проведения открытого конкурса на право реализации Программы перевозок пассажиров по маршрутам </w:t>
      </w:r>
      <w:proofErr w:type="gram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Пировского  района</w:t>
      </w:r>
      <w:proofErr w:type="gram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и субсидируется из краевого </w:t>
      </w:r>
      <w:proofErr w:type="spell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бюджета.Объем</w:t>
      </w:r>
      <w:proofErr w:type="spell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перевозок пассажиров автомобильным транспортом общего пользования района в 2017 году составило 41,79 тыс. человек за год, по сравнению с 2016 годом  сокращение на 17,9 тыс. человек, в последующие годы также будет сокращение за счет сокращения численности населения.</w:t>
      </w:r>
    </w:p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В настоящее время в районе 39 населенных пунктов, в 6-</w:t>
      </w:r>
      <w:proofErr w:type="gram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ти  никто</w:t>
      </w:r>
      <w:proofErr w:type="gram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не проживает, не охвачено перевозками 3 населенных пункта , в них проживает 253 человека. Доля населения, проживающего в населенных пунктах, не имеющих регулярного автобусного сообщения с административным центром района (</w:t>
      </w:r>
      <w:proofErr w:type="spell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с.Пировское</w:t>
      </w:r>
      <w:proofErr w:type="spell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), в общей численности населения района в 2016 году составляла 3,83%.  В 2017 году этот показатель составил 3,66 %. Уменьшение доли на 0,17% объясняется тем, </w:t>
      </w:r>
      <w:proofErr w:type="gram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что  среднегодовая</w:t>
      </w:r>
      <w:proofErr w:type="gram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численность всего населения уменьшилась на 85 человек и число проживающих в этих населенных пунктах уменьшилось на 3 человека. </w:t>
      </w:r>
    </w:p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color="FF0000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3216"/>
        <w:gridCol w:w="5245"/>
      </w:tblGrid>
      <w:tr w:rsidR="00EF1839" w:rsidRPr="00EF1839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P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F1839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№п/п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P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F1839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Населенный пункт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P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F1839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Среднегодовая численность населения, человек</w:t>
            </w:r>
          </w:p>
        </w:tc>
      </w:tr>
      <w:tr w:rsidR="00EF1839" w:rsidRPr="00EF1839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Pr="00EF1839" w:rsidRDefault="00E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F1839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P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proofErr w:type="spellStart"/>
            <w:r w:rsidRPr="00EF1839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Алтат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P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F1839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101</w:t>
            </w:r>
          </w:p>
        </w:tc>
      </w:tr>
      <w:tr w:rsidR="00EF1839" w:rsidRPr="00EF1839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Pr="00EF1839" w:rsidRDefault="00E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F1839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Pr="00EF1839" w:rsidRDefault="00E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proofErr w:type="spellStart"/>
            <w:r w:rsidRPr="00EF1839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Чайда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Pr="00EF1839" w:rsidRDefault="00E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F1839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137</w:t>
            </w:r>
          </w:p>
        </w:tc>
      </w:tr>
      <w:tr w:rsidR="00EF1839" w:rsidRPr="00EF1839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Pr="00EF1839" w:rsidRDefault="00E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F1839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Pr="00EF1839" w:rsidRDefault="00E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proofErr w:type="spellStart"/>
            <w:r w:rsidRPr="00EF1839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Шумбаш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Pr="00EF1839" w:rsidRDefault="00EF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 w:rsidRPr="00EF1839"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15</w:t>
            </w:r>
          </w:p>
        </w:tc>
      </w:tr>
    </w:tbl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color="FF0000"/>
        </w:rPr>
      </w:pPr>
    </w:p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Связь на территории района обеспечивают ОАО «Ростелеком» и четыре оператора сотовой связи («МТС», «Теле 2», «Билайн», «Мегафон»).</w:t>
      </w:r>
    </w:p>
    <w:p w:rsidR="00EF1839" w:rsidRPr="00EF1839" w:rsidRDefault="00EF1839" w:rsidP="00EF1839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Телефонизацией </w:t>
      </w:r>
      <w:proofErr w:type="gram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охвачено  26</w:t>
      </w:r>
      <w:proofErr w:type="gram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населенных пунктов района (т.е. 66,6%). Все школы района </w:t>
      </w:r>
      <w:proofErr w:type="gram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подключены  к</w:t>
      </w:r>
      <w:proofErr w:type="gram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  Интернету.  </w:t>
      </w:r>
    </w:p>
    <w:p w:rsidR="00EF1839" w:rsidRPr="00EF1839" w:rsidRDefault="00EF1839" w:rsidP="00EF183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Услуги почтовой связи на территории района оказывает </w:t>
      </w:r>
      <w:proofErr w:type="gramStart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>Пировский  РУПС</w:t>
      </w:r>
      <w:proofErr w:type="gramEnd"/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. Сеть почтовой связи состоит из 5 сельских почтовых отделений связи и узлового в райцентре. </w:t>
      </w:r>
    </w:p>
    <w:p w:rsidR="00EF1839" w:rsidRPr="00EF1839" w:rsidRDefault="00EF1839" w:rsidP="00EF1839">
      <w:pPr>
        <w:tabs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EF1839">
        <w:rPr>
          <w:rFonts w:ascii="Times New Roman CYR" w:hAnsi="Times New Roman CYR" w:cs="Times New Roman CYR"/>
          <w:sz w:val="24"/>
          <w:szCs w:val="24"/>
          <w:u w:color="FF0000"/>
        </w:rPr>
        <w:t xml:space="preserve">На территории района созданы условия для здоровой конкуренции на рынке связи, направленные на развитие сетей связи, внедрение современного цифрового оборудования, использование новейших технологий. </w:t>
      </w:r>
    </w:p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Малое предпринимательство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На территории Пировского района осуществляют деятельность только субъекты малого предпринимательства. Количество субъектов малого бизнеса в Пировском районе по состоянию на 01.01.2018 года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составляет  190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единицы, </w:t>
      </w:r>
      <w:r>
        <w:rPr>
          <w:rFonts w:ascii="Times New Roman CYR" w:hAnsi="Times New Roman CYR" w:cs="Times New Roman CYR"/>
          <w:spacing w:val="-3"/>
          <w:sz w:val="24"/>
          <w:szCs w:val="24"/>
          <w:u w:color="FF0000"/>
        </w:rPr>
        <w:t>в том числе:</w:t>
      </w:r>
    </w:p>
    <w:p w:rsidR="00EF1839" w:rsidRDefault="00EF1839" w:rsidP="00EF1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малых предприятий - 39; </w:t>
      </w:r>
    </w:p>
    <w:p w:rsidR="00EF1839" w:rsidRDefault="00EF1839" w:rsidP="00EF1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индивидуальных предпринимателей – 151.</w:t>
      </w:r>
    </w:p>
    <w:p w:rsidR="00EF1839" w:rsidRDefault="00EF1839" w:rsidP="00EF1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1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За 2017 год количество субъектов малого предпринимательства по сравнению с 2016 годом снизилось на 7,32 %. </w:t>
      </w:r>
      <w:r>
        <w:rPr>
          <w:rFonts w:ascii="Times New Roman CYR" w:hAnsi="Times New Roman CYR" w:cs="Times New Roman CYR"/>
          <w:spacing w:val="1"/>
          <w:sz w:val="24"/>
          <w:szCs w:val="24"/>
          <w:u w:color="FF0000"/>
        </w:rPr>
        <w:t xml:space="preserve">Колебания в их численности связаны в основном с </w:t>
      </w:r>
      <w:r>
        <w:rPr>
          <w:rFonts w:ascii="Times New Roman CYR" w:hAnsi="Times New Roman CYR" w:cs="Times New Roman CYR"/>
          <w:spacing w:val="14"/>
          <w:sz w:val="24"/>
          <w:szCs w:val="24"/>
          <w:u w:color="FF0000"/>
        </w:rPr>
        <w:t xml:space="preserve">неблагоприятными погодными условиями для выращивания </w:t>
      </w:r>
      <w:r>
        <w:rPr>
          <w:rFonts w:ascii="Times New Roman CYR" w:hAnsi="Times New Roman CYR" w:cs="Times New Roman CYR"/>
          <w:spacing w:val="3"/>
          <w:sz w:val="24"/>
          <w:szCs w:val="24"/>
          <w:u w:color="FF0000"/>
        </w:rPr>
        <w:t xml:space="preserve">сельскохозяйственных </w:t>
      </w:r>
      <w:r>
        <w:rPr>
          <w:rFonts w:ascii="Times New Roman CYR" w:hAnsi="Times New Roman CYR" w:cs="Times New Roman CYR"/>
          <w:spacing w:val="3"/>
          <w:sz w:val="24"/>
          <w:szCs w:val="24"/>
          <w:u w:color="FF0000"/>
        </w:rPr>
        <w:lastRenderedPageBreak/>
        <w:t xml:space="preserve">культур, заготовки сена, древесины, а также действующая </w:t>
      </w:r>
      <w:r>
        <w:rPr>
          <w:rFonts w:ascii="Times New Roman CYR" w:hAnsi="Times New Roman CYR" w:cs="Times New Roman CYR"/>
          <w:spacing w:val="8"/>
          <w:sz w:val="24"/>
          <w:szCs w:val="24"/>
          <w:u w:color="FF0000"/>
        </w:rPr>
        <w:t xml:space="preserve">система налогообложения, имеющая, преимущественно, фискальный </w:t>
      </w:r>
      <w:r>
        <w:rPr>
          <w:rFonts w:ascii="Times New Roman CYR" w:hAnsi="Times New Roman CYR" w:cs="Times New Roman CYR"/>
          <w:spacing w:val="1"/>
          <w:sz w:val="24"/>
          <w:szCs w:val="24"/>
          <w:u w:color="FF0000"/>
        </w:rPr>
        <w:t xml:space="preserve">характер и, направленная на максимальное изъятие средств предприятия.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Большая часть всех субъектов малого бизнеса в районе занимается розничной торговлей, так как это наиболее стабильный и требующий меньших затрат вид предпринимательской деятельности.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Общая численность занятых в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малом  бизнесе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составляет 770 человек.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Среднесписочная численность работников организаций малого бизнеса (юридических лиц) в 2017 году составила – 510 человек. По сравнению с предыдущим годом это значение увеличилось на 3 человека в связи увеличением количества и численности крестьянско-фермерских хозяйств. </w:t>
      </w:r>
    </w:p>
    <w:p w:rsidR="00EF1839" w:rsidRDefault="00EF1839" w:rsidP="00EF1839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Индивидуальных предпринимателей и работников по найму у индивидуальных работников составляет 260 человек или 33,77 % общей численности занятых работников организаций малого бизнеса в экономике района.</w:t>
      </w:r>
    </w:p>
    <w:p w:rsidR="00EF1839" w:rsidRDefault="00EF1839" w:rsidP="00EF1839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 прогнозируемом периоде планируется незначительное увеличение численности занятых в предприятиях малого бизнеса, в основном за счет организаций сельского хозяйства и обработки древесины. У индивидуальных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предпринимателей  на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прогнозируемый период прирост  составит  до 5 человек.</w:t>
      </w:r>
    </w:p>
    <w:p w:rsidR="00EF1839" w:rsidRDefault="00EF1839" w:rsidP="00EF18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 прогнозируемом периоде ожидается увеличение заработной платы работников организаций малого бизнеса. Так, по итогам 2017 года среднемесячная заработная плата составила 11 586,75 руб., или 104,92 %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к  уровню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2016г. (увеличение произошло за счёт  заработной платы в сельском хозяйстве). Среднемесячная заработная плата работников у индивидуальных предпринимателей в 2017г. составила 13 000,00 руб.,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рост  по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отношению к 2016 году составляет 108,33,9%.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Оборот по предприятиям малого бизнеса в 2016 году составил 693 009,29 тыс. руб., темп роста к 2016 году 103,7 % увеличение в основном за счёт предприятий розничной торговли.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 2017 году количество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объектов  муниципальной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собственности, арендуемых субъектами малого предпринимательства, осталось на уровне 2016 года - 10 единиц.  Площадь муниципальной собственности, арендуемая субъектами малого предпринимательства, осталась на уровне предыдущего года -  1571,90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кв.м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.. </w:t>
      </w:r>
      <w:r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  <w:t xml:space="preserve">                                    </w:t>
      </w:r>
    </w:p>
    <w:p w:rsidR="00EF1839" w:rsidRDefault="00EF1839" w:rsidP="00EF1839">
      <w:pPr>
        <w:keepNext/>
        <w:tabs>
          <w:tab w:val="left" w:pos="2800"/>
          <w:tab w:val="left" w:pos="9900"/>
        </w:tabs>
        <w:autoSpaceDE w:val="0"/>
        <w:autoSpaceDN w:val="0"/>
        <w:adjustRightInd w:val="0"/>
        <w:spacing w:after="120" w:line="240" w:lineRule="auto"/>
        <w:ind w:right="21"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 районе действует программа «Развитие и поддержка малого и среднего предпринимательства в Пировском районе». Основное направление программы –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это  субсидии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субъектам малого и среднего бизнеса.</w:t>
      </w:r>
    </w:p>
    <w:p w:rsidR="00EF1839" w:rsidRDefault="00EF1839" w:rsidP="00EF1839">
      <w:pPr>
        <w:keepNext/>
        <w:tabs>
          <w:tab w:val="left" w:pos="2800"/>
          <w:tab w:val="left" w:pos="9900"/>
        </w:tabs>
        <w:autoSpaceDE w:val="0"/>
        <w:autoSpaceDN w:val="0"/>
        <w:adjustRightInd w:val="0"/>
        <w:spacing w:after="120" w:line="240" w:lineRule="auto"/>
        <w:ind w:right="21"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В 2017 году финансовая поддержка оказывалась по двум направлению:</w:t>
      </w:r>
    </w:p>
    <w:p w:rsidR="00EF1839" w:rsidRDefault="00EF1839" w:rsidP="00EF18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Calibri" w:hAnsi="Calibri" w:cs="Calibri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Субсидии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субъектам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малого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и</w:t>
      </w:r>
      <w:r>
        <w:rPr>
          <w:rFonts w:ascii="Calibri" w:hAnsi="Calibri" w:cs="Calibri"/>
          <w:sz w:val="24"/>
          <w:szCs w:val="24"/>
          <w:u w:color="FF0000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или</w:t>
      </w:r>
      <w:r>
        <w:rPr>
          <w:rFonts w:ascii="Calibri" w:hAnsi="Calibri" w:cs="Calibri"/>
          <w:sz w:val="24"/>
          <w:szCs w:val="24"/>
          <w:u w:color="FF0000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среднего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предпринимательства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на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возмещение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части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затрат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на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приобретение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оборудования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в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целях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создания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и</w:t>
      </w:r>
      <w:r>
        <w:rPr>
          <w:rFonts w:ascii="Calibri" w:hAnsi="Calibri" w:cs="Calibri"/>
          <w:sz w:val="24"/>
          <w:szCs w:val="24"/>
          <w:u w:color="FF0000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или</w:t>
      </w:r>
      <w:r>
        <w:rPr>
          <w:rFonts w:ascii="Calibri" w:hAnsi="Calibri" w:cs="Calibri"/>
          <w:sz w:val="24"/>
          <w:szCs w:val="24"/>
          <w:u w:color="FF0000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развития</w:t>
      </w:r>
      <w:r>
        <w:rPr>
          <w:rFonts w:ascii="Calibri" w:hAnsi="Calibri" w:cs="Calibri"/>
          <w:sz w:val="24"/>
          <w:szCs w:val="24"/>
          <w:u w:color="FF0000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и</w:t>
      </w:r>
      <w:r>
        <w:rPr>
          <w:rFonts w:ascii="Calibri" w:hAnsi="Calibri" w:cs="Calibri"/>
          <w:sz w:val="24"/>
          <w:szCs w:val="24"/>
          <w:u w:color="FF0000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или</w:t>
      </w:r>
      <w:r>
        <w:rPr>
          <w:rFonts w:ascii="Calibri" w:hAnsi="Calibri" w:cs="Calibri"/>
          <w:sz w:val="24"/>
          <w:szCs w:val="24"/>
          <w:u w:color="FF0000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модернизации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производства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товаров – 1 СМСП</w:t>
      </w:r>
      <w:r>
        <w:rPr>
          <w:rFonts w:ascii="Calibri" w:hAnsi="Calibri" w:cs="Calibri"/>
          <w:sz w:val="24"/>
          <w:szCs w:val="24"/>
          <w:u w:color="FF0000"/>
        </w:rPr>
        <w:t>;</w:t>
      </w:r>
    </w:p>
    <w:p w:rsidR="00EF1839" w:rsidRDefault="00EF1839" w:rsidP="00EF18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Субсидии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 - 1 СМСП,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u w:color="FF0000"/>
        </w:rPr>
      </w:pPr>
      <w:r>
        <w:rPr>
          <w:rFonts w:ascii="Calibri" w:hAnsi="Calibri" w:cs="Calibri"/>
          <w:sz w:val="24"/>
          <w:szCs w:val="24"/>
          <w:u w:color="FF0000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В</w:t>
      </w:r>
      <w:r>
        <w:rPr>
          <w:rFonts w:ascii="Calibri" w:hAnsi="Calibri" w:cs="Calibri"/>
          <w:sz w:val="24"/>
          <w:szCs w:val="24"/>
          <w:u w:color="FF0000"/>
        </w:rPr>
        <w:t xml:space="preserve"> 2017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году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финансовая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поддержка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была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оказана</w:t>
      </w:r>
      <w:r>
        <w:rPr>
          <w:rFonts w:ascii="Calibri" w:hAnsi="Calibri" w:cs="Calibri"/>
          <w:sz w:val="24"/>
          <w:szCs w:val="24"/>
          <w:u w:color="FF0000"/>
        </w:rPr>
        <w:t xml:space="preserve"> 2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субъектам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малого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бизнеса</w:t>
      </w:r>
      <w:r>
        <w:rPr>
          <w:rFonts w:ascii="Calibri" w:hAnsi="Calibri" w:cs="Calibri"/>
          <w:sz w:val="24"/>
          <w:szCs w:val="24"/>
          <w:u w:color="FF0000"/>
        </w:rPr>
        <w:t xml:space="preserve">: 2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–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юридическим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лицам</w:t>
      </w:r>
      <w:r>
        <w:rPr>
          <w:rFonts w:ascii="Calibri" w:hAnsi="Calibri" w:cs="Calibri"/>
          <w:sz w:val="24"/>
          <w:szCs w:val="24"/>
          <w:u w:color="FF0000"/>
        </w:rPr>
        <w:t xml:space="preserve">.     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Общий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объём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финансирования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в</w:t>
      </w:r>
      <w:r>
        <w:rPr>
          <w:rFonts w:ascii="Calibri" w:hAnsi="Calibri" w:cs="Calibri"/>
          <w:sz w:val="24"/>
          <w:szCs w:val="24"/>
          <w:u w:color="FF0000"/>
        </w:rPr>
        <w:t xml:space="preserve"> 2017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году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составил</w:t>
      </w:r>
      <w:r>
        <w:rPr>
          <w:rFonts w:ascii="Calibri" w:hAnsi="Calibri" w:cs="Calibri"/>
          <w:sz w:val="24"/>
          <w:szCs w:val="24"/>
          <w:u w:color="FF0000"/>
        </w:rPr>
        <w:t xml:space="preserve"> 1 052,63158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тыс</w:t>
      </w:r>
      <w:r>
        <w:rPr>
          <w:rFonts w:ascii="Calibri" w:hAnsi="Calibri" w:cs="Calibri"/>
          <w:sz w:val="24"/>
          <w:szCs w:val="24"/>
          <w:u w:color="FF0000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рублей</w:t>
      </w:r>
      <w:r>
        <w:rPr>
          <w:rFonts w:ascii="Calibri" w:hAnsi="Calibri" w:cs="Calibri"/>
          <w:sz w:val="24"/>
          <w:szCs w:val="24"/>
          <w:u w:color="FF0000"/>
        </w:rPr>
        <w:t xml:space="preserve">, 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из</w:t>
      </w:r>
      <w:proofErr w:type="gramEnd"/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них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освоено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–</w:t>
      </w:r>
      <w:r>
        <w:rPr>
          <w:rFonts w:ascii="Calibri" w:hAnsi="Calibri" w:cs="Calibri"/>
          <w:sz w:val="24"/>
          <w:szCs w:val="24"/>
          <w:u w:color="FF0000"/>
        </w:rPr>
        <w:t xml:space="preserve"> 1 000,00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</w:t>
      </w:r>
      <w:r>
        <w:rPr>
          <w:rFonts w:ascii="Calibri" w:hAnsi="Calibri" w:cs="Calibri"/>
          <w:sz w:val="24"/>
          <w:szCs w:val="24"/>
          <w:u w:color="FF0000"/>
        </w:rPr>
        <w:t>.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руб</w:t>
      </w:r>
      <w:proofErr w:type="spellEnd"/>
      <w:r>
        <w:rPr>
          <w:rFonts w:ascii="Calibri" w:hAnsi="Calibri" w:cs="Calibri"/>
          <w:sz w:val="24"/>
          <w:szCs w:val="24"/>
          <w:u w:color="FF0000"/>
        </w:rPr>
        <w:t xml:space="preserve">.,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в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том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числе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по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источникам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финансирования</w:t>
      </w:r>
      <w:r>
        <w:rPr>
          <w:rFonts w:ascii="Calibri" w:hAnsi="Calibri" w:cs="Calibri"/>
          <w:sz w:val="24"/>
          <w:szCs w:val="24"/>
          <w:u w:color="FF0000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районный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бюджет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–</w:t>
      </w:r>
      <w:r>
        <w:rPr>
          <w:rFonts w:ascii="Calibri" w:hAnsi="Calibri" w:cs="Calibri"/>
          <w:sz w:val="24"/>
          <w:szCs w:val="24"/>
          <w:u w:color="FF0000"/>
        </w:rPr>
        <w:t xml:space="preserve"> 52,63158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тыс</w:t>
      </w:r>
      <w:r>
        <w:rPr>
          <w:rFonts w:ascii="Calibri" w:hAnsi="Calibri" w:cs="Calibri"/>
          <w:sz w:val="24"/>
          <w:szCs w:val="24"/>
          <w:u w:color="FF0000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руб</w:t>
      </w:r>
      <w:r>
        <w:rPr>
          <w:rFonts w:ascii="Calibri" w:hAnsi="Calibri" w:cs="Calibri"/>
          <w:sz w:val="24"/>
          <w:szCs w:val="24"/>
          <w:u w:color="FF0000"/>
        </w:rPr>
        <w:t xml:space="preserve">.;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краевой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бюджет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–</w:t>
      </w:r>
      <w:r>
        <w:rPr>
          <w:rFonts w:ascii="Calibri" w:hAnsi="Calibri" w:cs="Calibri"/>
          <w:sz w:val="24"/>
          <w:szCs w:val="24"/>
          <w:u w:color="FF0000"/>
        </w:rPr>
        <w:t xml:space="preserve"> 947,36842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тыс</w:t>
      </w:r>
      <w:r>
        <w:rPr>
          <w:rFonts w:ascii="Calibri" w:hAnsi="Calibri" w:cs="Calibri"/>
          <w:sz w:val="24"/>
          <w:szCs w:val="24"/>
          <w:u w:color="FF0000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руб</w:t>
      </w:r>
      <w:r>
        <w:rPr>
          <w:rFonts w:ascii="Calibri" w:hAnsi="Calibri" w:cs="Calibri"/>
          <w:sz w:val="24"/>
          <w:szCs w:val="24"/>
          <w:u w:color="FF0000"/>
        </w:rPr>
        <w:t xml:space="preserve">..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Средства  освоены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не в полном объёме ввиду того, что заявитель отказался от небольшой суммы субсидии</w:t>
      </w:r>
      <w:r>
        <w:rPr>
          <w:rFonts w:ascii="Calibri" w:hAnsi="Calibri" w:cs="Calibri"/>
          <w:sz w:val="24"/>
          <w:szCs w:val="24"/>
          <w:u w:color="FF0000"/>
        </w:rPr>
        <w:t>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u w:color="FF0000"/>
        </w:rPr>
      </w:pPr>
      <w:r>
        <w:rPr>
          <w:rFonts w:ascii="Calibri" w:hAnsi="Calibri" w:cs="Calibri"/>
          <w:sz w:val="24"/>
          <w:szCs w:val="24"/>
          <w:u w:color="FF0000"/>
        </w:rPr>
        <w:lastRenderedPageBreak/>
        <w:t xml:space="preserve">         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Реализация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данной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программы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способствует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повышению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налоговых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поступлений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в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бюджет</w:t>
      </w:r>
      <w:r>
        <w:rPr>
          <w:rFonts w:ascii="Calibri" w:hAnsi="Calibri" w:cs="Calibri"/>
          <w:sz w:val="24"/>
          <w:szCs w:val="24"/>
          <w:u w:color="FF0000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деловой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активности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предпринимателей</w:t>
      </w:r>
      <w:r>
        <w:rPr>
          <w:rFonts w:ascii="Calibri" w:hAnsi="Calibri" w:cs="Calibri"/>
          <w:sz w:val="24"/>
          <w:szCs w:val="24"/>
          <w:u w:color="FF0000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созданию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новых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видов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услуг</w:t>
      </w:r>
      <w:r>
        <w:rPr>
          <w:rFonts w:ascii="Calibri" w:hAnsi="Calibri" w:cs="Calibri"/>
          <w:sz w:val="24"/>
          <w:szCs w:val="24"/>
          <w:u w:color="FF0000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модернизации</w:t>
      </w:r>
      <w:r>
        <w:rPr>
          <w:rFonts w:ascii="Calibri" w:hAnsi="Calibri" w:cs="Calibri"/>
          <w:sz w:val="24"/>
          <w:szCs w:val="24"/>
          <w:u w:color="FF0000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производства</w:t>
      </w:r>
      <w:r>
        <w:rPr>
          <w:rFonts w:ascii="Calibri" w:hAnsi="Calibri" w:cs="Calibri"/>
          <w:sz w:val="24"/>
          <w:szCs w:val="24"/>
          <w:u w:color="FF0000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обновлению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автопарка</w:t>
      </w:r>
      <w:r>
        <w:rPr>
          <w:rFonts w:ascii="Calibri" w:hAnsi="Calibri" w:cs="Calibri"/>
          <w:sz w:val="24"/>
          <w:szCs w:val="24"/>
          <w:u w:color="FF0000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созданию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новых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и</w:t>
      </w:r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сохранению уже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имеющихся</w:t>
      </w:r>
      <w:r>
        <w:rPr>
          <w:rFonts w:ascii="Calibri" w:hAnsi="Calibri" w:cs="Calibri"/>
          <w:sz w:val="24"/>
          <w:szCs w:val="24"/>
          <w:u w:color="FF0000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рабочих</w:t>
      </w:r>
      <w:proofErr w:type="gramEnd"/>
      <w:r>
        <w:rPr>
          <w:rFonts w:ascii="Calibri" w:hAnsi="Calibri" w:cs="Calibri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мест</w:t>
      </w:r>
      <w:r>
        <w:rPr>
          <w:rFonts w:ascii="Calibri" w:hAnsi="Calibri" w:cs="Calibri"/>
          <w:sz w:val="24"/>
          <w:szCs w:val="24"/>
          <w:u w:color="FF0000"/>
        </w:rPr>
        <w:t xml:space="preserve">. 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rPr>
          <w:rFonts w:ascii="Calibri" w:hAnsi="Calibri" w:cs="Calibri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Внешнеэкономическая деятельность</w:t>
      </w:r>
    </w:p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color="FF0000"/>
        </w:rPr>
      </w:pPr>
      <w:r>
        <w:rPr>
          <w:rFonts w:ascii="Times New Roman CYR" w:hAnsi="Times New Roman CYR" w:cs="Times New Roman CYR"/>
          <w:u w:color="FF0000"/>
        </w:rPr>
        <w:t xml:space="preserve">          Внешнеэкономической деятельности нет.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Результаты финансовой деятельности предприятий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Экономические показатели деятельности сельскохозяйственных предприятий и их финансовое состояние остаются нестабильными и характеризуются нехваткой собственных оборотных средств для сезонного финансирования производства, высокой кредиторской задолженностью и недоступностью банковского кредита. Поэтому организациям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ни как не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обойтись без средств государственной поддержки.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По результатам финансовой деятельности сельскохозяйственных организаций за 2017 год (без учета ИП глава К (Ф)Х) прибыльными являются только четыре организации, из пяти. Одна организации по итогам года понесли убытки на общую сумму 351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 Общая выручка организаций по итогом 2017 года составила 51536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, из них 38998,00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(или 75,07% от общей выручки) – доля дохода от реализация сельскохозяйственной продукции Чистая прибыль сельскохозяйственных организаций Пировского района составила 11823 тыс. рублей с учетом полученных субсидий и 4306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без учета субсидий.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Бюджет муниципального образования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Доходы районного бюджета составили 433457,9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, расходы 439361,7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, дефицит районного бюджета составил 5903,77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 Собственные доходы составляют 35984,75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 из них налоговые доходы консолидированного бюджета 26877,02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.,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неналоговые  9107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,73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., безвозмездные поступления , за исключением субвенций 223257,63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  В 2017 году доля налоговых и неналоговых доходов местного бюджета в общем объеме собственных доходов бюджета увеличилась по сравнению с 2016 годом на 0,33% (налоговые и неналоговые доходы увеличились на 1848,8 тыс. рублей). В 2017 году доля налоговых и неналоговых доходов местного бюджета в общем объеме собственных доходов бюджета увеличилась по сравнению с 2016 годом на 0,33% (налоговые и неналоговые доходы увеличились на 1848,8 тыс. рублей).  Безвозмездные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поступления  увеличились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на 17586,0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  <w:t>Уменьшились поступления: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акцизам на 383,5 тыс. рублей, за счет изменения федерального законодательства (снижение доли дифференцированного норматива);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единому налогу на вмененный доход на 77,1 тыс. рублей;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единому сельхозналогу на 162,5 тыс. рублей – за счет сокращения налогооблагаемой базы в связи со снижением посевных площадей;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госпошлине на 180,8 тыс. рублей, за счет снижения количества обращений в суд;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lastRenderedPageBreak/>
        <w:t xml:space="preserve">-по доходам от сдачи в аренду имущества на 157,10 тыс. рублей в связи с расторжением договора аренды помещения между администрацией района и ИП Забродина «Дом торговли» (в 2016г. 1 квартал оплачен). 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платежам при пользовании природными ресурсами на 13,3 тыс. руб.;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доходам от продажи квартир на 68,0 тыс. руб., в связи с окончанием выплаты выкупной цены за квартиры.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  <w:t xml:space="preserve">      Выросли поступления: 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- по налогу на прибыль организаций на 50,3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>. за счет увеличения прибыли;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НДФЛ на 953,4 тыс. рублей;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налогу на имущество с физических лиц на 164,5 тыс. рублей, за счет увеличения собираемости налога, за счет увеличения коэффициента-дефлятора, стоимость имущества по отдельным объектам перешла в категорию с более высокой ставкой;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земельному налогу с организаций на 40,0 тыс. руб.;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земельному налогу с физических лиц на 74,2 тыс. руб.;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задолженности и перерасчетам по отмененным налогам, сборам и иным обязательным платежам на 29,9 тыс. руб., в декабре поступил авансовый платеж января 2018г.;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- по доходам от сдачи в аренду земельных участков на 99,8 тыс. рублей;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- по доходам от компенсации затрат на 544,1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., за счет роста тарифов на отопление - 494,5 тыс. руб., долг 2016г. - 22,7 тыс. руб., вновь заключенные договора – 27,8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>.;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-по доходам от реализации имущества, находящегося в собственности муниципального района на 773,0 тыс. руб. за счет продажи здания в п.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Кетском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>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доходам от продажи земельных участков на 35,1 тыс. рублей – увеличение числа заявителей в связи с изменением законодательства (физ. Лица оформляли землю в собственность);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по штрафам на 218,6 тыс. рублей, в том числе увеличились поступления: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по Федеральной службе по ветеринарному и фитосанитарному надзору на 38,6 тыс. рублей;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по главному управлению внутренних дел по Красноярскому краю на 143,16 тыс. руб.;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по Администрации Пировского района Красноярского края на 39,81 тыс. руб.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  <w:t>Безвозмездные поступления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из краевого и федерального бюджетов увеличились на 25 098,76 тыс. рублей, в том числе дотации на выравнивание бюджетной обеспеченности на 9 998,30 тыс. руб.; субвенции на 18 031,04 тыс. руб.; прочих межбюджетных трансфертов на 3353,40 тыс. руб.  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Субсидии уменьшились на 8 439,42 тыс. руб.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lastRenderedPageBreak/>
        <w:t xml:space="preserve">       В 2018году доля налоговых и неналоговых доходов местного бюджета в общем объеме собственных доходов бюджета составит 14,55%, увеличивается на 0,67% по сравнению с 2017 годом. В 2019г. -16,49%, в 2020г.-16,93%.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ab/>
        <w:t>На 2018г. налоговых и неналоговых доходов местного бюджета запланировано в размере 34 994,58 тыс. руб., что меньше на 990,17 тыс. руб. 2017г.  В 2019г. налоговые и неналоговые доходы увеличатся 721,25 тыс. руб., в 2020г.  1136,02 тыс. руб.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ab/>
        <w:t>Необходимо отметить, что перераспределение безвозмездных поступлений производится в течение финансового года, например, оценка безвозмездных поступлений в 2017 году превысила первоначальный прогноз на 21,56% или 39 592,42 тыс. руб.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 структуре налоговых доходов наиболее значимым для бюджета Пировского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района  является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налог на доходы физических лиц (19672,5 тыс. руб. в 2017 году), удельный вес которого в общем объеме налоговых доходов составляет 73,2 %, увеличение  объемов поступлений по налогу на доходы физических лиц составило 953,4 тыс. рублей.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Местный бюджет традиционно сохраняет социальную направленность. Доля расходов на образование, культуру, физическую культуру и спорт, социальную политику составила 71,5 процентов.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Структура расходов бюджета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2"/>
        <w:gridCol w:w="3213"/>
        <w:gridCol w:w="1890"/>
        <w:gridCol w:w="1843"/>
        <w:gridCol w:w="2552"/>
      </w:tblGrid>
      <w:tr w:rsidR="00EF1839">
        <w:trPr>
          <w:trHeight w:val="12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Наименование показателя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Отчет  2016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 г.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отчет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за  2017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г. (тыс.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Доля расходов по видам бюджетной классификации в общем объеме расходов (%) в 2017 г</w:t>
            </w:r>
          </w:p>
        </w:tc>
      </w:tr>
      <w:tr w:rsidR="00EF183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Общегосударственные вопросы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57638,0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59456,8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13,53</w:t>
            </w:r>
          </w:p>
        </w:tc>
      </w:tr>
      <w:tr w:rsidR="00EF1839">
        <w:trPr>
          <w:trHeight w:val="7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Национальная оборона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690,7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684,4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0,15</w:t>
            </w:r>
          </w:p>
        </w:tc>
      </w:tr>
      <w:tr w:rsidR="00EF1839">
        <w:trPr>
          <w:trHeight w:val="7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3315,2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3908,7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0,89</w:t>
            </w:r>
          </w:p>
        </w:tc>
      </w:tr>
      <w:tr w:rsidR="00EF183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Национальная экономика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26628,5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24586,7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5,60</w:t>
            </w:r>
          </w:p>
        </w:tc>
      </w:tr>
      <w:tr w:rsidR="00EF183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Жилищно-коммунальное хозяйство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33981,1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24233,3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5,51</w:t>
            </w:r>
          </w:p>
        </w:tc>
      </w:tr>
      <w:tr w:rsidR="00EF183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Охрана окружающей среды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0,02</w:t>
            </w:r>
          </w:p>
        </w:tc>
      </w:tr>
      <w:tr w:rsidR="00EF1839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lightGray"/>
                <w:u w:color="FF000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Социально- культурная сфера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282432,8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326489,2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74,31</w:t>
            </w:r>
          </w:p>
        </w:tc>
      </w:tr>
      <w:tr w:rsidR="00EF1839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Образование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217970,8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241939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55,06</w:t>
            </w:r>
          </w:p>
        </w:tc>
      </w:tr>
      <w:tr w:rsidR="00EF1839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 xml:space="preserve">Культура, кинематография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39746,3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50803,5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11,56</w:t>
            </w:r>
          </w:p>
        </w:tc>
      </w:tr>
      <w:tr w:rsidR="00EF1839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Здравоохранение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78,9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0,02</w:t>
            </w:r>
          </w:p>
        </w:tc>
      </w:tr>
      <w:tr w:rsidR="00EF1839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Социальная политика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22857,5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27033,2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6,15</w:t>
            </w:r>
          </w:p>
        </w:tc>
      </w:tr>
      <w:tr w:rsidR="00EF1839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Физическая культура и спорт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1773,3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6634,6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1,51</w:t>
            </w:r>
          </w:p>
        </w:tc>
      </w:tr>
      <w:tr w:rsidR="00EF1839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lastRenderedPageBreak/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Обслуживание государственного и муниципального долга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</w:tr>
      <w:tr w:rsidR="00EF1839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13</w:t>
            </w:r>
          </w:p>
        </w:tc>
        <w:tc>
          <w:tcPr>
            <w:tcW w:w="321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ВСЕГО РАСХОДОВ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404686,4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439361,7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1839" w:rsidRDefault="00EF18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100</w:t>
            </w:r>
          </w:p>
        </w:tc>
      </w:tr>
    </w:tbl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p w:rsidR="00EF1839" w:rsidRDefault="00EF1839" w:rsidP="00EF18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С 2014 года расходы бюджета формируются на основе муниципальных программ. На уровне муниципального района реализуется 13 муниципальных программ.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Учитывая высокую зависимость бюджета Пировского района от финансовой помощи из вышестоящего бюджета, эффективность существующей системы межбюджетных трансфертов обуславливает состояние муниципальных финансов. В условиях ограниченности бюджетных ресурсов становятся актуальными изыскание внутренних резервов для увеличения доходов бюджета, стимулирование развития налоговой базы, формируемой субъектами малого и среднего предпринимательства, принятие мер по эффективности использования бюджетных ресурсов.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11.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Общественное питание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Оборот предприятий общественного питания в 2017 году составил 7711,0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 темп роста в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сопоставимыхценах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составил 103,0%. Услуги общественного питания на территории района оказывают индивидуальные предприниматели и столовые находящиеся на базе общеобразовательных школ. По оценке 2018 г. оборот общественного питания составит 8148,7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 Темп роста в сопоставимых ценах прогнозируется на уровне 102,0 % в 2019 году, 102,0 % в 2020 году, 103,0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%  к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2021 году.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12.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Розничная торговля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За 2017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год  населению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района продано потребительских товаров через все каналы реализации  507231,5 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.руб.,  что составляет 96,4 % к уровню прошлого года (в сопоставимых ценах 93,6%). Отметим, что снижение оборота розничной торговли идет из года в год и обусловлен сокращением численности населения и снижением покупательской способности.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По состоянию на 1.01.2017 года на территории района зарегистрировано 102 торговых точек, из которых   более 50%   находятся в районном центре.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Состояние розничной торговой сети оценивается уровнем обеспеченности населения торговыми площадями. Норматив минимальной обеспеченности населения площадью торговых объектов 344,25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кв.м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на 1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тыс.человек</w:t>
      </w:r>
      <w:proofErr w:type="spellEnd"/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,  фактическая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обеспеченность  торговыми площадями в целом по Пировскому району составляет 396,68 кв. м. на 1000 жителей.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14.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Уровень жизни населения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На протяжении последних лет наблюдается положительная динамика среднедушевых денежных доходов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населения  и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средней заработной платы. За 2017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год  среднедушевые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денежные доходы составили 11815,7 рубля, что выше уровня предыдущего года на 10,1 %. Всего за период с 2010 по 2017 год рост среднедушевых денежных доходов составил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более  50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,0 %. </w:t>
      </w:r>
    </w:p>
    <w:p w:rsidR="00EF1839" w:rsidRDefault="00EF1839" w:rsidP="00EF183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По данным Федеральной службы Государственной статистики по Красноярскому краю среднемесячная заработная плата в 2017 году по району составила 23490,5 рублей. Её номинальный размер по сравнению с 2016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годм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увеличился на 10,13 %. Несмотря на рост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lastRenderedPageBreak/>
        <w:t xml:space="preserve">среднемесячной заработной платы, её размер остается значительно ниже средней по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краю  (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>краевое значение в 2017 году -41111,4 руб.).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15.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Рынок труда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Численность трудовых ресурсов в районе в 2017 году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составила  3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,906 тыс. человек (56,19 % от общей численности населения), из них 3,177 тыс. человек заняты в экономике района.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Следует отметить, что численность занятых в экономике района из года в год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сокращается,   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уменьшилась  за последних пять лет на 600 человек, в основном за счет выезда людей в трудоспособном возрасте.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Основная часть занятого населения - 1,8 тыс. человек, заняты в частном секторе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экономики  (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46,08 % от общей численности занятых в экономике).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Важным показателем экономического и социального благополучия района является такой показатель как безработица. За последние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годыт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уровень безработицы по району значительно снизился, данные приведены в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таблице .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В 2017 году уровень безработицы составил 2,2%, по краю данный показатель 6,2 %. По состоянию на 1 января 2009 года статус безработного имели 420 человек, уровень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безработицы  составлял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9%,самый высокий за последние 10 лет, что было значительно выше краевого  показателя, это во многом было связано с изменениями, происходившими в экономике района в связи с финансово-экономическим кризисом. На 1 января 2018 года статус безработного имели 76 человек. По данным на 01 июля 2018 года численность безработных граждан, зарегистрированных в центре занятости населения, составила 87 человек, уровень безработицы – 2,1%, коэффициент напряженности в среднемесячном исчислении – 0,7.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                                                                                                         Таблица 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"/>
        <w:gridCol w:w="4632"/>
        <w:gridCol w:w="3945"/>
      </w:tblGrid>
      <w:tr w:rsidR="00EF1839">
        <w:trPr>
          <w:trHeight w:val="52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 xml:space="preserve">         Год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 xml:space="preserve">Численность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безработных,  чел.</w:t>
            </w:r>
            <w:proofErr w:type="gramEnd"/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Уровень безработицы, %</w:t>
            </w:r>
          </w:p>
        </w:tc>
      </w:tr>
      <w:tr w:rsidR="00EF1839">
        <w:trPr>
          <w:trHeight w:val="80"/>
        </w:trPr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2014</w:t>
            </w:r>
          </w:p>
        </w:tc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 xml:space="preserve">   160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4,2</w:t>
            </w:r>
          </w:p>
        </w:tc>
      </w:tr>
      <w:tr w:rsidR="00EF1839">
        <w:trPr>
          <w:trHeight w:val="200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</w:p>
        </w:tc>
      </w:tr>
      <w:tr w:rsidR="00EF1839">
        <w:trPr>
          <w:trHeight w:val="80"/>
        </w:trPr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2015</w:t>
            </w:r>
          </w:p>
        </w:tc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 xml:space="preserve">   132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3,5</w:t>
            </w:r>
          </w:p>
        </w:tc>
      </w:tr>
      <w:tr w:rsidR="00EF1839">
        <w:trPr>
          <w:trHeight w:val="105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</w:p>
        </w:tc>
      </w:tr>
      <w:tr w:rsidR="00EF1839">
        <w:trPr>
          <w:trHeight w:val="80"/>
        </w:trPr>
        <w:tc>
          <w:tcPr>
            <w:tcW w:w="15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2016</w:t>
            </w:r>
          </w:p>
        </w:tc>
        <w:tc>
          <w:tcPr>
            <w:tcW w:w="46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 xml:space="preserve">  132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2,8</w:t>
            </w:r>
          </w:p>
        </w:tc>
      </w:tr>
      <w:tr w:rsidR="00EF1839">
        <w:trPr>
          <w:trHeight w:val="80"/>
        </w:trPr>
        <w:tc>
          <w:tcPr>
            <w:tcW w:w="15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 xml:space="preserve">        2017</w:t>
            </w:r>
          </w:p>
        </w:tc>
        <w:tc>
          <w:tcPr>
            <w:tcW w:w="46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 xml:space="preserve">  101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2,2</w:t>
            </w:r>
          </w:p>
        </w:tc>
      </w:tr>
      <w:tr w:rsidR="00EF1839">
        <w:trPr>
          <w:trHeight w:val="80"/>
        </w:trPr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2018</w:t>
            </w:r>
          </w:p>
        </w:tc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 xml:space="preserve">   76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F1839" w:rsidRDefault="00EF183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2,1</w:t>
            </w:r>
          </w:p>
        </w:tc>
      </w:tr>
    </w:tbl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p w:rsidR="00EF1839" w:rsidRDefault="00EF1839" w:rsidP="00EF18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Основной проблемой в сфере занятости является наличие дисбаланса спроса и предложения на рынке труда за счет несоответствия кадровым потребностям работодателей, профессионально-половозрастного состава безработных и высокий уровень численности населения, работающего не по полученной специальности, а занятого в сфере обслуживания и торговли.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color="FF0000"/>
        </w:rPr>
        <w:t xml:space="preserve">Предприятия испытывают нехватку именно в квалифицированных кадрах. Поэтому в районе используется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u w:color="FF0000"/>
        </w:rPr>
        <w:t>труд  иностранных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u w:color="FF0000"/>
        </w:rPr>
        <w:t xml:space="preserve"> граждан.  Основные профессии иностранных граждан, осуществляющих трудовую деятельность на предприятиях района – рамщики,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u w:color="FF0000"/>
        </w:rPr>
        <w:t>чекировщики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u w:color="FF0000"/>
        </w:rPr>
        <w:t xml:space="preserve">, мастера леса и т.п. </w:t>
      </w:r>
    </w:p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16.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Демографическая ситуация</w:t>
      </w:r>
    </w:p>
    <w:p w:rsidR="00EF1839" w:rsidRDefault="00EF1839" w:rsidP="00EF1839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По численности населения Пировский район один из самых малочисленных районов края. За 2017 год среднегодовая численность постоянного населения сократилась на 85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человек  и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составила  6910 человек.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lastRenderedPageBreak/>
        <w:t xml:space="preserve">         В течение 2017 г родилось 89 детей, умерло 109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человек ,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естественная убыль  составляет-20 человек, в 2016 году наблюдалась  естественная прибыль  13 человек.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Количество прибывших на территорию района по итогам 2017 года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составило  -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353 человека, что на 49 человек больше по сравнению с 2016 годом, количество выбывших с территории района составило 418 человек, на 15 человек больше , чем в 2016 году. Но сальдо миграции за данный период, по-прежнему, имеет отрицательный характер и составило по итогам 2017 года "-65" человек, в 2016 году "-99".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Можно отметить, что за последние 10 лет (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см.таблицу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) не наблюдается значительного увеличения рождаемости, сохраняется в динамике высокая смертность населения. Только в 2012-2013,2016 годах наблюдался естественный прирост населения.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В районе сложилось отрицательное сальдо миграции, с преобладанием выезда людей в трудоспособном возрасте.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                                                                                                               Таблица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"/>
        <w:gridCol w:w="1980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EF1839"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Наименование показателя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2017</w:t>
            </w:r>
          </w:p>
        </w:tc>
      </w:tr>
      <w:tr w:rsidR="00EF1839"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Среднегодовая численность постоянного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8199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8078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7593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7441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7303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7199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7071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6995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6910</w:t>
            </w:r>
          </w:p>
        </w:tc>
      </w:tr>
      <w:tr w:rsidR="00EF1839"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Численность населения на начало года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8377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8251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8147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7666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7520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7153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7104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7038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6952</w:t>
            </w:r>
          </w:p>
        </w:tc>
      </w:tr>
      <w:tr w:rsidR="00EF1839"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Численность родившихся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89</w:t>
            </w:r>
          </w:p>
        </w:tc>
      </w:tr>
      <w:tr w:rsidR="00EF1839"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Численность умерших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109</w:t>
            </w:r>
          </w:p>
        </w:tc>
      </w:tr>
      <w:tr w:rsidR="00EF1839"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Естественный прирост(+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),убыль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(-)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-20</w:t>
            </w:r>
          </w:p>
        </w:tc>
      </w:tr>
      <w:tr w:rsidR="00EF1839"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Численность прибывших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353</w:t>
            </w:r>
          </w:p>
        </w:tc>
      </w:tr>
      <w:tr w:rsidR="00EF1839"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Численность убывших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418</w:t>
            </w:r>
          </w:p>
        </w:tc>
      </w:tr>
      <w:tr w:rsidR="00EF1839"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Миграционный прирост(+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),убыль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(-)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-158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-120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-106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39" w:rsidRDefault="00EF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-65</w:t>
            </w:r>
          </w:p>
        </w:tc>
      </w:tr>
    </w:tbl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Динамика демографической ситуации в районе не совпадает с тенденциями демографического развития края -  численность населения района ежегодно сокращается, как за счет снижения коэффициента естественного прироста, так и за счет миграционного оттока населения из района. В крае наметилась положительная динамика увеличения численности населения. </w:t>
      </w:r>
    </w:p>
    <w:p w:rsidR="00EF1839" w:rsidRDefault="00EF1839" w:rsidP="00EF183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17.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Здравоохранение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В структуре 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Пировской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районной больницы, в комплексе, присутствует поликлиника, многопрофильный круглосуточный стационар, стационар дневного пребывания при поликлинике, офисы врачей общей практики, отделение скорой медицинской помощи. Для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lastRenderedPageBreak/>
        <w:t xml:space="preserve">обслуживания сельского населения –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фельдшерско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- акушерские пункты. Диагностическую службу представляет биохимическая лаборатория, кабинет ультразвуковой диагностики, кабинет флюорографии, рентгенологический кабинет, службы ЛФК и физиотерапии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ind w:firstLine="540"/>
        <w:jc w:val="both"/>
        <w:rPr>
          <w:rFonts w:ascii="Arial CYR" w:hAnsi="Arial CYR" w:cs="Arial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Центральная районная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больница  на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53 койки, количество коек сохраняется, поликлиника на 250 посещений в смену и  14 фельдшерско-акушерских пунктов. . Обеспеченность врачами на 10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тыс.населения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составляла в 2017 году- 23,5, к 2021 планируем 28,16.</w:t>
      </w:r>
      <w:r>
        <w:rPr>
          <w:rFonts w:ascii="Arial CYR" w:hAnsi="Arial CYR" w:cs="Arial CYR"/>
          <w:sz w:val="24"/>
          <w:szCs w:val="24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18.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Образование</w:t>
      </w:r>
    </w:p>
    <w:p w:rsidR="00EF1839" w:rsidRPr="007A508F" w:rsidRDefault="00EF1839" w:rsidP="00EF1839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В Пировском районе функционируют 4 муниципальных учреждения дошкольного образования и 4 дошкольные группы, организованные на базе двух общеобразовательных учреждений: МБОУ «</w:t>
      </w:r>
      <w:proofErr w:type="spellStart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Большекетская</w:t>
      </w:r>
      <w:proofErr w:type="spellEnd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средняя школа» и </w:t>
      </w:r>
      <w:proofErr w:type="spellStart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Кириковской</w:t>
      </w:r>
      <w:proofErr w:type="spellEnd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средней </w:t>
      </w:r>
      <w:proofErr w:type="spellStart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школы.</w:t>
      </w:r>
      <w:r w:rsidRPr="007A508F">
        <w:rPr>
          <w:rFonts w:ascii="Calibri" w:hAnsi="Calibri" w:cs="Calibri"/>
          <w:sz w:val="24"/>
          <w:szCs w:val="24"/>
          <w:u w:color="FF0000"/>
        </w:rPr>
        <w:t>В</w:t>
      </w:r>
      <w:proofErr w:type="spellEnd"/>
      <w:r w:rsidRPr="007A508F">
        <w:rPr>
          <w:rFonts w:ascii="Calibri" w:hAnsi="Calibri" w:cs="Calibri"/>
          <w:sz w:val="24"/>
          <w:szCs w:val="24"/>
          <w:u w:color="FF0000"/>
        </w:rPr>
        <w:t xml:space="preserve"> декабре 2016 года было введено в эксплуатацию здание нового детского сада проектной мощностью на 95 мест. Соответственно, доля детей в возрасте 1-6 лет, получающих дошкольную образовательную </w:t>
      </w:r>
      <w:proofErr w:type="gramStart"/>
      <w:r w:rsidRPr="007A508F">
        <w:rPr>
          <w:rFonts w:ascii="Calibri" w:hAnsi="Calibri" w:cs="Calibri"/>
          <w:sz w:val="24"/>
          <w:szCs w:val="24"/>
          <w:u w:color="FF0000"/>
        </w:rPr>
        <w:t>услугу  в</w:t>
      </w:r>
      <w:proofErr w:type="gramEnd"/>
      <w:r w:rsidRPr="007A508F">
        <w:rPr>
          <w:rFonts w:ascii="Calibri" w:hAnsi="Calibri" w:cs="Calibri"/>
          <w:sz w:val="24"/>
          <w:szCs w:val="24"/>
          <w:u w:color="FF0000"/>
        </w:rPr>
        <w:t xml:space="preserve"> 2016 году составила  54,5%, в 2015 году было 42,6%.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</w:t>
      </w:r>
    </w:p>
    <w:p w:rsidR="00EF1839" w:rsidRPr="007A508F" w:rsidRDefault="00EF1839" w:rsidP="00EF1839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ab/>
        <w:t>В районе разработан и осуществляется план мероприятий, направленных на сохранение и развитие сети дошкольных образовательных учреждений, в том числе на укрепление их материально технической базы, развития форм образования и повышения их доступности.</w:t>
      </w:r>
    </w:p>
    <w:p w:rsidR="00EF1839" w:rsidRPr="007A508F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7A508F">
        <w:rPr>
          <w:rFonts w:ascii="Calibri" w:hAnsi="Calibri" w:cs="Calibri"/>
          <w:sz w:val="24"/>
          <w:szCs w:val="24"/>
          <w:u w:color="FF0000"/>
        </w:rPr>
        <w:t xml:space="preserve">           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лет, составляет 0%.</w:t>
      </w:r>
    </w:p>
    <w:p w:rsidR="00EF1839" w:rsidRPr="007A508F" w:rsidRDefault="00EF1839" w:rsidP="00EF183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    В</w:t>
      </w:r>
      <w:r w:rsidRPr="007A508F">
        <w:rPr>
          <w:rFonts w:ascii="Times New Roman CYR" w:hAnsi="Times New Roman CYR" w:cs="Times New Roman CYR"/>
          <w:color w:val="000000"/>
          <w:sz w:val="24"/>
          <w:szCs w:val="24"/>
          <w:u w:color="FF0000"/>
        </w:rPr>
        <w:t xml:space="preserve"> школах района обучается 878 учащихся.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</w:t>
      </w:r>
      <w:proofErr w:type="gramStart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учреждений  в</w:t>
      </w:r>
      <w:proofErr w:type="gramEnd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2015г – 1,96 %, в 2016г- 0 %.  Все учащиеся успешно прошли государственную итоговую аттестацию.</w:t>
      </w:r>
    </w:p>
    <w:p w:rsidR="00EF1839" w:rsidRPr="007A508F" w:rsidRDefault="00EF1839" w:rsidP="00EF183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    Численность выпускников, сдававших единый государственный экзамен в 2015г.- 51 учащийся, в 2016 г - 45 учащихся. Данная динамика связана с уменьшением количества учащихся, поступающих в 10 класс. В дальнейшем показатель будет изменяться в зависимости от наполняемости учащихся в классах.</w:t>
      </w:r>
    </w:p>
    <w:p w:rsidR="00EF1839" w:rsidRPr="007A508F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color="FF0000"/>
        </w:rPr>
      </w:pP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Муниципальные учреждения, не соответствующие современным требованиям в отчетном году:</w:t>
      </w:r>
    </w:p>
    <w:p w:rsidR="00EF1839" w:rsidRPr="007A508F" w:rsidRDefault="00EF1839" w:rsidP="00EF1839">
      <w:pPr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sz w:val="24"/>
          <w:szCs w:val="24"/>
          <w:u w:color="FF0000"/>
        </w:rPr>
      </w:pP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МБОУ «</w:t>
      </w:r>
      <w:proofErr w:type="spellStart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Алтатская</w:t>
      </w:r>
      <w:proofErr w:type="spellEnd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основная школа»</w:t>
      </w:r>
    </w:p>
    <w:p w:rsidR="00EF1839" w:rsidRPr="007A508F" w:rsidRDefault="00EF1839" w:rsidP="00EF1839">
      <w:pPr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sz w:val="24"/>
          <w:szCs w:val="24"/>
          <w:u w:color="FF0000"/>
        </w:rPr>
      </w:pP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МБОУ «</w:t>
      </w:r>
      <w:proofErr w:type="spellStart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Солоухинская</w:t>
      </w:r>
      <w:proofErr w:type="spellEnd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основная школа»</w:t>
      </w:r>
    </w:p>
    <w:p w:rsidR="00EF1839" w:rsidRPr="007A508F" w:rsidRDefault="00EF1839" w:rsidP="00EF1839">
      <w:pPr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sz w:val="24"/>
          <w:szCs w:val="24"/>
          <w:u w:color="FF0000"/>
        </w:rPr>
      </w:pP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МБОУ </w:t>
      </w:r>
      <w:proofErr w:type="spellStart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Бушуйская</w:t>
      </w:r>
      <w:proofErr w:type="spellEnd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основная школа» - отсутствие водопровода, центрального отопления, водоотведения.</w:t>
      </w:r>
    </w:p>
    <w:p w:rsidR="00EF1839" w:rsidRPr="007A508F" w:rsidRDefault="00EF1839" w:rsidP="00EF1839">
      <w:pPr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sz w:val="24"/>
          <w:szCs w:val="24"/>
          <w:u w:color="FF0000"/>
        </w:rPr>
      </w:pP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МБОУ «</w:t>
      </w:r>
      <w:proofErr w:type="spellStart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Чайдинская</w:t>
      </w:r>
      <w:proofErr w:type="spellEnd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основная школа» -  отсутствие водопровода, центрального отопления, водоотведения, спортивного зала.</w:t>
      </w:r>
    </w:p>
    <w:p w:rsidR="00EF1839" w:rsidRPr="007A508F" w:rsidRDefault="00EF1839" w:rsidP="00EF1839">
      <w:pPr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sz w:val="24"/>
          <w:szCs w:val="24"/>
          <w:u w:color="FF0000"/>
        </w:rPr>
      </w:pP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Доля детей первой и второй групп здоровья в общей численности обучающихся в муниципальных общеобразовательных </w:t>
      </w:r>
      <w:proofErr w:type="gramStart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учреждениях  в</w:t>
      </w:r>
      <w:proofErr w:type="gramEnd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 xml:space="preserve"> 2015г – 86,48%, в 2016г- 88,54%. Показатель увеличился на 2,06%. В 2017- 2019г. значение показателя 88,6% увеличение </w:t>
      </w:r>
      <w:proofErr w:type="gramStart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составляет  0</w:t>
      </w:r>
      <w:proofErr w:type="gramEnd"/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,07%.</w:t>
      </w:r>
    </w:p>
    <w:p w:rsidR="00EF1839" w:rsidRPr="007A508F" w:rsidRDefault="00EF1839" w:rsidP="00EF1839">
      <w:pPr>
        <w:autoSpaceDE w:val="0"/>
        <w:autoSpaceDN w:val="0"/>
        <w:adjustRightInd w:val="0"/>
        <w:spacing w:after="0" w:line="353" w:lineRule="atLeast"/>
        <w:jc w:val="both"/>
        <w:rPr>
          <w:rFonts w:ascii="Times New Roman CYR" w:hAnsi="Times New Roman CYR" w:cs="Times New Roman CYR"/>
          <w:color w:val="2D2D2D"/>
          <w:spacing w:val="2"/>
          <w:sz w:val="24"/>
          <w:szCs w:val="24"/>
          <w:highlight w:val="white"/>
          <w:u w:color="FF0000"/>
        </w:rPr>
      </w:pPr>
      <w:r w:rsidRPr="007A508F">
        <w:rPr>
          <w:rFonts w:ascii="Times New Roman CYR" w:hAnsi="Times New Roman CYR" w:cs="Times New Roman CYR"/>
          <w:color w:val="444444"/>
          <w:sz w:val="24"/>
          <w:szCs w:val="24"/>
          <w:u w:color="FF0000"/>
        </w:rPr>
        <w:lastRenderedPageBreak/>
        <w:t xml:space="preserve">         Увеличивается доля детей в возрасте 5-18 лет, получающих услуги по дополнительному образованию в организациях различной организационно-правовой формы и формы </w:t>
      </w:r>
      <w:proofErr w:type="gramStart"/>
      <w:r w:rsidRPr="007A508F">
        <w:rPr>
          <w:rFonts w:ascii="Times New Roman CYR" w:hAnsi="Times New Roman CYR" w:cs="Times New Roman CYR"/>
          <w:color w:val="444444"/>
          <w:sz w:val="24"/>
          <w:szCs w:val="24"/>
          <w:u w:color="FF0000"/>
        </w:rPr>
        <w:t>собственности  за</w:t>
      </w:r>
      <w:proofErr w:type="gramEnd"/>
      <w:r w:rsidRPr="007A508F">
        <w:rPr>
          <w:rFonts w:ascii="Times New Roman CYR" w:hAnsi="Times New Roman CYR" w:cs="Times New Roman CYR"/>
          <w:color w:val="444444"/>
          <w:sz w:val="24"/>
          <w:szCs w:val="24"/>
          <w:u w:color="FF0000"/>
        </w:rPr>
        <w:t xml:space="preserve"> счёт улучшения механизмов обеспечения доступности услуг дополнительного образования детей, а также повышения</w:t>
      </w:r>
      <w:r w:rsidRPr="007A508F">
        <w:rPr>
          <w:rFonts w:ascii="Times New Roman CYR" w:hAnsi="Times New Roman CYR" w:cs="Times New Roman CYR"/>
          <w:color w:val="2D2D2D"/>
          <w:spacing w:val="2"/>
          <w:sz w:val="24"/>
          <w:szCs w:val="24"/>
          <w:highlight w:val="white"/>
          <w:u w:color="FF0000"/>
        </w:rPr>
        <w:t xml:space="preserve"> качества предоставляемых  услуг учреждениями дополнительного образования детей.</w:t>
      </w:r>
    </w:p>
    <w:p w:rsidR="00EF1839" w:rsidRPr="007A508F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color="FF0000"/>
        </w:rPr>
      </w:pPr>
      <w:r w:rsidRPr="007A508F">
        <w:rPr>
          <w:rFonts w:ascii="Times New Roman CYR" w:hAnsi="Times New Roman CYR" w:cs="Times New Roman CYR"/>
          <w:color w:val="000000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Расходы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бюджета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муниципального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образования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на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общее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образование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в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расчете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на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1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обучающегося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в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муниципальных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общеобразовательных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учреждениях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в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201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6году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уменьшились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на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65,76</w:t>
      </w:r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proofErr w:type="gramStart"/>
      <w:r w:rsidRPr="007A508F">
        <w:rPr>
          <w:rFonts w:ascii="Times New Roman" w:hAnsi="Times New Roman" w:cs="Times New Roman"/>
          <w:sz w:val="24"/>
          <w:szCs w:val="24"/>
          <w:u w:color="FF0000"/>
        </w:rPr>
        <w:t xml:space="preserve">% </w:t>
      </w:r>
      <w:r w:rsidRPr="007A508F">
        <w:rPr>
          <w:rFonts w:ascii="Times New Roman CYR" w:hAnsi="Times New Roman CYR" w:cs="Times New Roman CYR"/>
          <w:sz w:val="24"/>
          <w:szCs w:val="24"/>
          <w:u w:color="FF0000"/>
        </w:rPr>
        <w:t>.</w:t>
      </w:r>
      <w:proofErr w:type="gramEnd"/>
    </w:p>
    <w:p w:rsidR="00EF1839" w:rsidRPr="007A508F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19.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Культура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u w:color="FF0000"/>
        </w:rPr>
      </w:pPr>
      <w:r>
        <w:rPr>
          <w:rFonts w:ascii="Times New Roman CYR" w:hAnsi="Times New Roman CYR" w:cs="Times New Roman CYR"/>
          <w:sz w:val="26"/>
          <w:szCs w:val="26"/>
          <w:u w:color="FF0000"/>
        </w:rPr>
        <w:t xml:space="preserve">      В Пировском районе действуют 38 бюджетных учреждений культуры, из них 15 библиотек, 21 учреждение клубного типа, Детско-юношеская спортивная школа, детская школа искусств, молодежная студия «Новый век» при отделе культуры, спорта, туризма и молодежной политике. В отрасли работает 131 человек. На базе культурно-досуговых учреждений (клубов) действуют 186 клубных формирований (кружков), участниками которых на бесплатной основе являются 1585 человек.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left="280" w:hanging="100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6"/>
          <w:szCs w:val="26"/>
          <w:u w:color="FF0000"/>
        </w:rPr>
        <w:t xml:space="preserve">       Из числа 91 творческих специалистов, работающих </w:t>
      </w:r>
      <w:proofErr w:type="gramStart"/>
      <w:r>
        <w:rPr>
          <w:rFonts w:ascii="Times New Roman CYR" w:hAnsi="Times New Roman CYR" w:cs="Times New Roman CYR"/>
          <w:sz w:val="26"/>
          <w:szCs w:val="26"/>
          <w:u w:color="FF0000"/>
        </w:rPr>
        <w:t>в  учреждениях</w:t>
      </w:r>
      <w:proofErr w:type="gramEnd"/>
      <w:r>
        <w:rPr>
          <w:rFonts w:ascii="Times New Roman CYR" w:hAnsi="Times New Roman CYR" w:cs="Times New Roman CYR"/>
          <w:sz w:val="26"/>
          <w:szCs w:val="26"/>
          <w:u w:color="FF0000"/>
        </w:rPr>
        <w:t xml:space="preserve"> культуры района, около 70 % имеют профильное образование.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left="280" w:hanging="100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Число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читателей  за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2016  год составляло -6034 чел.,  за 2017 год -6014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чел.,по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прогнозным данным  до 2020 года численность пользователей составит 6000 человек.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left="280" w:hanging="100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Книговыдача  составила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110,82 экз., что на  21,5 тыс. экз. меньше, чем в 2016 году, ввиду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того,что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значительно сократилось число читателей.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left="280" w:hanging="100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Число посещений общедоступных библиотек   35,9 тыс. чел.  в 2015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году,  в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2016 году-35,83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тыс.человек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>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left="280" w:hanging="100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    Количество учащихся ДШИ в 2017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году  60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чел., число учащихся по сравнению с 2016 годом не изменилось.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left="280" w:hanging="100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   В районе в 2017 году киноустановки не работали.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20.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Физическая культура и спорт</w:t>
      </w:r>
    </w:p>
    <w:p w:rsidR="00EF1839" w:rsidRDefault="00EF1839" w:rsidP="00EF1839">
      <w:pPr>
        <w:tabs>
          <w:tab w:val="left" w:pos="2376"/>
        </w:tabs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Доля населения, систематически занимающихся физической культурой и спортом в 2017 году составила 34,90 % (2218 чел. из числа жителей от 3 – 79 лет). Увеличение показателя по сравнению с 2016 годом (30,84%) составила 2,07%. Прогнозируемая динамика на 2018 год (36,53% - 2285 чел.), 2019 год (37,81% - 2350 чел.), 2020 год (39,07% - 2415 чел.).  </w:t>
      </w:r>
    </w:p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FF0000"/>
        </w:rPr>
      </w:pPr>
    </w:p>
    <w:p w:rsidR="00EF1839" w:rsidRDefault="00EF1839" w:rsidP="00EF1839">
      <w:pPr>
        <w:tabs>
          <w:tab w:val="left" w:pos="2376"/>
        </w:tabs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Доля обучающихся, систематически занимающихся физической культурой и спортом, в общей численности обучающихся в 2017 году составила 64,31% (892 чел. из числа жителей от 3 до 18 лет - 1387 чел.). Увеличение показателя по сравнению с 2016 годом (51,80%) составила 12,8%. Прогнозируемая динамика на 2018 год (64,52% - 924 чел.), 2019 год (65,030% - 958 чел.), 2020 год (65,56% - 985 чел.).</w:t>
      </w:r>
    </w:p>
    <w:p w:rsidR="00EF1839" w:rsidRDefault="00EF1839" w:rsidP="00EF1839">
      <w:pPr>
        <w:tabs>
          <w:tab w:val="left" w:pos="2376"/>
        </w:tabs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Улучшение показателей занимающихся физической культурой и спортом, связано с пристальным вниманием органов местного самоуправления развитию физической культуры и спорта на территории Пировского района.</w:t>
      </w:r>
    </w:p>
    <w:p w:rsidR="00EF1839" w:rsidRDefault="00EF1839" w:rsidP="00EF1839">
      <w:pPr>
        <w:tabs>
          <w:tab w:val="left" w:pos="2376"/>
        </w:tabs>
        <w:autoSpaceDE w:val="0"/>
        <w:autoSpaceDN w:val="0"/>
        <w:adjustRightInd w:val="0"/>
        <w:spacing w:after="0" w:line="240" w:lineRule="auto"/>
        <w:ind w:right="-17"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При главе Пировского района создан Совет по развитию физической культуры и спорта, целью которого является. 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проведение совещаний, оргкомитетов по проведению спортивных мероприятий;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lastRenderedPageBreak/>
        <w:t>- систематическая индивидуальная работа с главами сельских советов по развитию физической культуры и спорта в поселениях;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 проведение совещаний с директорами школ, учителями физической культуры;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- организация и проведение комплексной Спартакиады трудовых коллективов, коллективов общеобразовательных учреждений, сельских советов Пировского района, межрайонная спартакиада между Пировским и Казачинским районами.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Так же большое внимание уделяется укреплению материально – технической базы спортивной отрасли района. В 2017 году сделан капитальный ремонт здания МБУ «Спортивная школа Пировского района».  На базе МБУ «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Физкультурно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– спортивный центр «Пировский», открыт спортивный клуб по месту жительства граждан «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Игровик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>».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Для достижения целевых показателей отделом культуры, спорта, туризма и молодёжной политики администрации Пировского района поставлены следующие задачи: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- участие в конкурсном отборе на предоставление и расходование субсидии бюджетам муниципальных районов на создание новых и поддержку действующих спортивных клубов по месту жительства;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- увеличение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физкультурно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– спортивных мероприятий в календарном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плане  среди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всех слоев населения (развитие спартакиадного движения, спорта среди ветеранов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и.т.д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>).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- организация и проведение мероприятий по выполнению норм ВФСК ГТО среди всех слоев населения.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- популяризация физической культуры и спорта в СМИ (новости о предстоящих спортивных мероприятий, результатах, акции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и.т.д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>., в Одноклассниках (МБУ ФСЦ «Пировский», в Контакте (спорт Пировского района), районная газета «ЗАРЯ» и телестудия «Новый век».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Все вышеперечисленные мероприятия при согласованном взаимодействии со всеми структурами (районная больница, отделение полиции, ПСЧ – 61, отдел образования, отдел социальной защиты, совет ветеранов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и.т.д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>.) позволят добиться целевых индикаторов, которые были запланированы на предстоящие годы</w:t>
      </w:r>
    </w:p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21.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Социальная защита населения</w:t>
      </w:r>
    </w:p>
    <w:p w:rsidR="00EF1839" w:rsidRDefault="00EF1839" w:rsidP="00EF1839">
      <w:pPr>
        <w:autoSpaceDE w:val="0"/>
        <w:autoSpaceDN w:val="0"/>
        <w:adjustRightInd w:val="0"/>
        <w:spacing w:line="252" w:lineRule="auto"/>
        <w:ind w:hanging="142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Социальная защита включает следующие учреждения: МУ «Комплексный центр социального обслуживания населения» и КГБУ СО «Центр семьи «Пировский». Численность населения, состоящего на учете в органах социальной защиты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населения  в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2016 году- 4256 человек, в 2017 году -4427 человек. Численность отдельных категорий граждан, имеющих право на меры социальной поддержки в соответствии законодательством Российской Федерации и субъекта Российской Федерации в 2016 году-2414 человек, в 2017 году 2423человека.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За отчетный период меры социальной поддержки из числа льготных категорий граждан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получили  –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2423 человека (в 2016 году – 2452 человек).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Произошло уменьшение численности граждан, пользующихся мерами социальной поддержки по оплате жилья и коммунальных услуг в 2017 году – 2429 человек в 2016 году - 2435.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В то же время увеличилось численность граждан, попавших в трудную жизненную ситуацию и получивших материальную помощь в органах социальной защиты населения с 84 человек в 2016 году до 95 человек в 2017 году. Такая мера социальной поддержки носит заявительный характер и в 2017 году поступило на 11 заявлений больше чем в 2016 году.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Снизилось количество семей, получивших субсидии на оплату жилья и коммунальных услуг с учетом их доходов с 68 человек в 2016 году до 51 человека в 2017 году. Причиной стало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lastRenderedPageBreak/>
        <w:t>увеличение доходов семьи, уменьшение прожиточного минимума и в связи с тем, что жилые помещения граждан не оформлены в собственность.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Всего объем средств, направленных на предоставление мер социальной поддержки гражданам льготных категорий составил 13,3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млн.рублей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(в 2017 году – 13,4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млн.рублей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>).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Объем средств местного бюджета, направленных на реализацию мер поддержки в рамках инициативных расходов, составил в 2016 году – 102,93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, в 2017 году – 90,5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тыс.рублей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уменьшение произошло в связи с перерасчетом пенсий за выслугу лет муниципальным служащим, получающим пенсию за выслугу лет из средств местного бюджета (2017-4 чел, 2016 -4 чел).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Публичные обязательства по переданным государственным полномочиям исполнены в размере 26,6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млн.рублей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(2017 год – 22,3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млн.рублей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).          </w:t>
      </w:r>
    </w:p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EF1839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22.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Жилищно-коммунальное хозяйство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Деятельность по оказанию услуг в сфере</w:t>
      </w:r>
      <w:r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жилищно-коммунального хозяйства на территории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района  осуществляет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ООО «Стратегия Норд». 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Потребителями жилищно-коммунальных услуг являются учреждения и организации социальной сферы (школы, больницы, клубы, библиотеки, спортзалы, детские сады), а также жители Пировского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района..</w:t>
      </w:r>
      <w:proofErr w:type="gramEnd"/>
    </w:p>
    <w:p w:rsidR="00EF1839" w:rsidRDefault="00EF1839" w:rsidP="00EF1839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Жилищно-коммунальное хозяйство района представлено 9 котельными, 13 водонапорных башен, 5,850 км тепловых сетей, 67,1 км водопроводных сетей.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Эксплуатируемые муниципальные инженерно-технические объекты имеют высокую степень износа. Износ источников теплоснабжения и водоснабжения составляет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более  66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>,3%, в замене нуждаются более 68,0% инженерных сетей ЖКХ . Потери тепловой энергии в 2016 году составили 0,5 тыс. Гкал или 6,7 0% от общего количества выработанной тепловой энергии.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 Предприятие, оказывающее услуги в сфере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ЖКХ,  не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имеет собственных основных  фондов, в том числе и производственной базы,  для осуществления  своей деятельности.  Все основные фонды, эксплуатируемые ими, находятся в муниципальной собственности.   А это, в свою очередь, ставит предприятия в зависимость от муниципалитета и возможностей местного бюджета по расходованию средств на поддержание эксплуатационных свойств и обновление оборудования.</w:t>
      </w:r>
    </w:p>
    <w:p w:rsidR="00EF1839" w:rsidRDefault="00EF1839" w:rsidP="00EF1839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           Серьезной проблемой для района остается гарантированное обеспечение населения качественной питьевой водой. Качество воды не соответствует требованиям ГОСТа и СанПиНа. Очистные сооружения стоят только на двух водонапорных башнях. Водонапорные башни, водопроводные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сети  требуют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реконструкции и капитального ремонта. 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5F235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23.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Экологическая ситуация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На территории Пировского района находится одно гидротехническое сооружение (далее ГТС): плотина с водосбросом и прудом- защитная дамба на реке Третья. ГТС находится в двух километрах от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д.Светлицк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, вдоль автодороги Раменское –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Шагирислам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Кириковского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сельсовета. Площадь пруда составляет 230000м.кв., средняя глубина - 2,5 м. Плотина: длина – 300м., высота 5,5м., ширина по верху плотины 6 м. Защитная дамба: длина 300м., высота 2м.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Вышеуказанное ГТС относится к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аварийно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– опасным сооружениям и требует капитального ремонта.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lastRenderedPageBreak/>
        <w:t xml:space="preserve">В настоящее время в Единый государственный реестр прав на недвижимое имущество и сделок с ним внесены записи о принятии на учет данного ГТС как бесхозяйного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объекта  недвижимости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Наиболее значимым участком, нуждающимся в увеличении пропускной способности является русло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р.Белой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в границах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с.Пировское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протяженностью четыре километра.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В 2017г. введение в эксплуатацию гидротехнических сооружений, объектов охраны окружающей среды, захоронения промышленных и бытовых отходов на территории Пировского района не осуществлялось.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Весь объём водопотребления из природных источников представлен водой,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полученной  из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подземных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водоисточников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: шахтных  колодцев и  скважин. Открытые водозаборы на водных объектах не используются.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Весь использованный объем водопотребления представлен свежей водой, которая не была в производственном процессе.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Оборотного и повторно-последовательного использования воды на территории Пировского района не применяется. Очистные сооружения на территории Пировского района отсутствуют.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Используемая информация об объемах выбросов в атмосферный воздух за предыдущие годы была представлена Енисейским управлением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Ростехнадзора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Указанный показатель объёма выбросов в атмосферу загрязняющих веществ стационарными источниками на территории района за 2017 год представлен с учетом предыдущих лет. Это связано с тем, что Территориальный орган Федеральной службы государственной статистики по Красноярскому краю не может предоставить полученную от организаций данные в целях обеспечения конфиденциальности.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Величина объёма выбросов в атмосферу загрязняющих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веществ  от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передвижных источников загрязнения зависит от количества зарегистрированного и снятого с учёта автотранспорта, тракторов и самоходных машин, а так же от вида транспортного средства и объема и типа двигателя.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На конец 2017 г. начало 2018 г. на учете состоит 5767 единиц автотранспортных средств. Часть из них – не используется (более 2500 единиц). Большинство из тех, которые используются – легковые автомобили. Официальными данными о выбросах загрязняющих веществ в атмосферный воздух от автотранспорта администрация Пировского района не располагает.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Сведения об образовании, использовании, обезвреживании, транспортировании и размещении отходов производства в Пировском районе за 2017 год представлены на основании систематизированных данных по форме федерального государственного статистического наблюдения №2-ТП (отходы). Используемые значения образования отходов производства и потребления не является показателем фактического образования отходов производства и потребления на территории района.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На территории Пировского района нет ни одного специализированного предприятия по переработке, обезвреживанию и вторичному использованию отходов. В связи с удаленностью и труднодоступностью района, существует проблема транспортировки отходов для дальнейшей передачи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их  специализированным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предприятиям для вторичного использования и переработки. Многим предприятиям района экономически сложно вывозить отходы на перерабатывающие предприятия, ближайшие из которых находятся в г. Красноярске.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 настоящее время на территории Пировского района в рамках мероприятий долгосрочной целевой программы «Модернизация, реконструкция и капитальный ремонт объектов коммунальной инфраструктуры муниципальных образований Красноярского края на 2011-2012 года за счет средств краевого бюджета построена первая очередь объекта: полигон для размещения твердых бытовых отходов в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с.Пировское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Пировского района. Полигон введен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lastRenderedPageBreak/>
        <w:t xml:space="preserve">в эксплуатацию в 2016 году. В связи с отсутствием специализированной техники и контейнеров, сбор, вывоз и утилизация (для тех, кто заключил договора) производится ООО «Стратегия Норд» в определенные дни недели, по специально созданному </w:t>
      </w:r>
      <w:proofErr w:type="gramStart"/>
      <w:r>
        <w:rPr>
          <w:rFonts w:ascii="Times New Roman CYR" w:hAnsi="Times New Roman CYR" w:cs="Times New Roman CYR"/>
          <w:sz w:val="24"/>
          <w:szCs w:val="24"/>
          <w:u w:color="FF0000"/>
        </w:rPr>
        <w:t>графику,  либо</w:t>
      </w:r>
      <w:proofErr w:type="gram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население, организации сами покупают талоны на утилизацию твердых бытовых отходов в ООО «Стратегия Норд» и самостоятельно вывозят ТКО.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Полигон находится в 1908 м от ориентира, расположенного по адресу с. Пировское, ул. Ключевая, 50а. Площадь объекта – 0,004 тыс. га, проектная мощность – 3284 тонн в год.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Пировский район состоит из 10 сельских советов. 9 сельсоветов удалены от райцентра и имеют зарегистрированные специализированные земельные участки для временного накопления ТБО.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</w:p>
    <w:p w:rsidR="00EF1839" w:rsidRP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F1839" w:rsidRDefault="00EF1839" w:rsidP="00EF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8B710F" w:rsidRDefault="005F235D"/>
    <w:sectPr w:rsidR="008B710F" w:rsidSect="00C94B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B3928"/>
    <w:multiLevelType w:val="singleLevel"/>
    <w:tmpl w:val="4F0E5D4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7"/>
    <w:rsid w:val="0035215A"/>
    <w:rsid w:val="004A260E"/>
    <w:rsid w:val="005F235D"/>
    <w:rsid w:val="007A508F"/>
    <w:rsid w:val="00AA14B7"/>
    <w:rsid w:val="00B52D18"/>
    <w:rsid w:val="00E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C8DB-DEE1-4FAA-B27D-FDA2041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7782</Words>
  <Characters>44363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Grigorieva</cp:lastModifiedBy>
  <cp:revision>3</cp:revision>
  <dcterms:created xsi:type="dcterms:W3CDTF">2018-10-02T08:07:00Z</dcterms:created>
  <dcterms:modified xsi:type="dcterms:W3CDTF">2018-10-31T05:21:00Z</dcterms:modified>
</cp:coreProperties>
</file>